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1</w:t>
      </w:r>
    </w:p>
    <w:p>
      <w:pPr>
        <w:spacing w:line="560" w:lineRule="exact"/>
        <w:jc w:val="center"/>
        <w:rPr>
          <w:rFonts w:ascii="方正小标宋简体" w:hAnsi="华文中宋" w:eastAsia="方正小标宋简体"/>
          <w:sz w:val="44"/>
          <w:szCs w:val="44"/>
        </w:rPr>
      </w:pP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动物科技学院推荐、接收优秀应届本科毕业生免试攻读研究生实施细则（修订）</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 xml:space="preserve">第一章  总则 </w:t>
      </w:r>
    </w:p>
    <w:p>
      <w:pPr>
        <w:ind w:firstLine="643" w:firstLineChars="200"/>
        <w:rPr>
          <w:rFonts w:ascii="仿宋_GB2312" w:hAnsi="华文中宋" w:eastAsia="仿宋_GB2312"/>
          <w:b/>
          <w:bCs/>
          <w:sz w:val="32"/>
          <w:szCs w:val="32"/>
        </w:rPr>
      </w:pPr>
      <w:r>
        <w:rPr>
          <w:rFonts w:hint="eastAsia" w:ascii="仿宋_GB2312" w:hAnsi="宋体" w:eastAsia="仿宋_GB2312" w:cs="仿宋_GB2312"/>
          <w:b/>
          <w:bCs/>
          <w:sz w:val="32"/>
          <w:szCs w:val="32"/>
        </w:rPr>
        <w:t xml:space="preserve">第一条  </w:t>
      </w:r>
      <w:r>
        <w:rPr>
          <w:rFonts w:hint="eastAsia" w:ascii="仿宋_GB2312" w:hAnsi="宋体" w:eastAsia="仿宋_GB2312" w:cs="仿宋_GB2312"/>
          <w:sz w:val="32"/>
          <w:szCs w:val="32"/>
        </w:rPr>
        <w:t>为进一步规范我院推荐、接收优秀应届本科毕业生免试攻读硕士学位研究生（以下简称“推免生”）工作，加大拔尖创新人才选拔培养力度，激励学生勤奋学习，根据《西北农林科技大学推荐优秀应届本科毕业生免试攻读研究生实施办法（试行）》（校研发〔</w:t>
      </w:r>
      <w:r>
        <w:rPr>
          <w:rFonts w:ascii="仿宋_GB2312" w:hAnsi="宋体" w:eastAsia="仿宋_GB2312" w:cs="仿宋_GB2312"/>
          <w:sz w:val="32"/>
          <w:szCs w:val="32"/>
        </w:rPr>
        <w:t>2018〕142号</w:t>
      </w:r>
      <w:r>
        <w:rPr>
          <w:rFonts w:hint="eastAsia" w:ascii="仿宋_GB2312" w:hAnsi="宋体" w:eastAsia="仿宋_GB2312" w:cs="仿宋_GB2312"/>
          <w:sz w:val="32"/>
          <w:szCs w:val="32"/>
        </w:rPr>
        <w:t>）、《西北农林科技大学推荐优秀应届本科毕业生免试攻读研究生复试录取工作暂行办法》（校研发〔</w:t>
      </w:r>
      <w:r>
        <w:rPr>
          <w:rFonts w:ascii="仿宋_GB2312" w:hAnsi="宋体" w:eastAsia="仿宋_GB2312" w:cs="仿宋_GB2312"/>
          <w:sz w:val="32"/>
          <w:szCs w:val="32"/>
        </w:rPr>
        <w:t>2018〕258号</w:t>
      </w:r>
      <w:r>
        <w:rPr>
          <w:rFonts w:hint="eastAsia" w:ascii="仿宋_GB2312" w:hAnsi="宋体" w:eastAsia="仿宋_GB2312" w:cs="仿宋_GB2312"/>
          <w:sz w:val="32"/>
          <w:szCs w:val="32"/>
        </w:rPr>
        <w:t>）、《西北农林科技大学特长生免试攻读研究生推荐办法》（研院〔</w:t>
      </w:r>
      <w:r>
        <w:rPr>
          <w:rFonts w:ascii="仿宋_GB2312" w:hAnsi="宋体" w:eastAsia="仿宋_GB2312" w:cs="仿宋_GB2312"/>
          <w:sz w:val="32"/>
          <w:szCs w:val="32"/>
        </w:rPr>
        <w:t>2018〕19号</w:t>
      </w:r>
      <w:r>
        <w:rPr>
          <w:rFonts w:hint="eastAsia" w:ascii="仿宋_GB2312" w:hAnsi="宋体" w:eastAsia="仿宋_GB2312" w:cs="仿宋_GB2312"/>
          <w:sz w:val="32"/>
          <w:szCs w:val="32"/>
        </w:rPr>
        <w:t>）的有关规定，结合双一流建设，本着公平、公正、公开的原则，结合学院实际，制定本实施细则。</w:t>
      </w:r>
    </w:p>
    <w:p>
      <w:pPr>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 xml:space="preserve">第二条  </w:t>
      </w:r>
      <w:r>
        <w:rPr>
          <w:rFonts w:hint="eastAsia" w:ascii="仿宋_GB2312" w:hAnsi="宋体" w:eastAsia="仿宋_GB2312" w:cs="仿宋_GB2312"/>
          <w:sz w:val="32"/>
          <w:szCs w:val="32"/>
        </w:rPr>
        <w:t>本实施细则所称应届本科毕业生指符合第一条文件规定的我院应届本科毕业生。</w:t>
      </w:r>
    </w:p>
    <w:p>
      <w:pPr>
        <w:ind w:firstLine="643" w:firstLineChars="200"/>
        <w:rPr>
          <w:rFonts w:hint="eastAsia" w:ascii="仿宋_GB2312" w:hAnsi="宋体" w:eastAsia="仿宋_GB2312" w:cs="仿宋_GB2312"/>
          <w:sz w:val="32"/>
          <w:szCs w:val="32"/>
        </w:rPr>
      </w:pPr>
      <w:r>
        <w:rPr>
          <w:rFonts w:hint="eastAsia" w:ascii="仿宋_GB2312" w:hAnsi="宋体" w:eastAsia="仿宋_GB2312" w:cs="仿宋_GB2312"/>
          <w:b/>
          <w:sz w:val="32"/>
          <w:szCs w:val="32"/>
        </w:rPr>
        <w:t>第三条</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非我院应届毕业生由所在单位推荐，动物科技学院根据本实施细则进行考核接收。</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第二章  组织机构</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学院成立推免生遴选工作领导小组，负责制定学院推荐、接收工作实施细则，组织工作组进行考核面试。</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推免生遴选工作领导小组由学院党委书记、院长任组长，主管教学工作的副院长、主管研究生工作的副院长、</w:t>
      </w:r>
      <w:r>
        <w:rPr>
          <w:rFonts w:hint="eastAsia" w:ascii="仿宋_GB2312" w:hAnsi="宋体" w:eastAsia="仿宋_GB2312"/>
          <w:sz w:val="32"/>
          <w:szCs w:val="32"/>
          <w:lang w:val="en-US" w:eastAsia="zh-CN"/>
        </w:rPr>
        <w:t>主管学生工作的</w:t>
      </w:r>
      <w:r>
        <w:rPr>
          <w:rFonts w:hint="eastAsia" w:ascii="仿宋_GB2312" w:hAnsi="宋体" w:eastAsia="仿宋_GB2312"/>
          <w:sz w:val="32"/>
          <w:szCs w:val="32"/>
        </w:rPr>
        <w:t>党委副书记任副组长，系主任、教师代表、相关</w:t>
      </w:r>
      <w:r>
        <w:rPr>
          <w:rFonts w:hint="eastAsia" w:ascii="仿宋_GB2312" w:hAnsi="宋体" w:eastAsia="仿宋_GB2312"/>
          <w:sz w:val="32"/>
          <w:szCs w:val="32"/>
          <w:lang w:val="en-US" w:eastAsia="zh-CN"/>
        </w:rPr>
        <w:t>管理人员</w:t>
      </w:r>
      <w:r>
        <w:rPr>
          <w:rFonts w:hint="eastAsia" w:ascii="仿宋_GB2312" w:hAnsi="宋体" w:eastAsia="仿宋_GB2312"/>
          <w:sz w:val="32"/>
          <w:szCs w:val="32"/>
        </w:rPr>
        <w:t>等组成。</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学院成立推免生遴</w:t>
      </w:r>
      <w:bookmarkStart w:id="1" w:name="_GoBack"/>
      <w:bookmarkEnd w:id="1"/>
      <w:r>
        <w:rPr>
          <w:rFonts w:hint="eastAsia" w:ascii="仿宋_GB2312" w:hAnsi="宋体" w:eastAsia="仿宋_GB2312"/>
          <w:sz w:val="32"/>
          <w:szCs w:val="32"/>
        </w:rPr>
        <w:t>选工作监督小组，负责监督推荐、接收推免生工作，监督管理细则另行制定。</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第三章  遴选与接收条件</w:t>
      </w:r>
    </w:p>
    <w:p>
      <w:pPr>
        <w:adjustRightInd w:val="0"/>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 xml:space="preserve">第七条  </w:t>
      </w:r>
      <w:r>
        <w:rPr>
          <w:rFonts w:hint="eastAsia" w:ascii="仿宋_GB2312" w:hAnsi="宋体" w:eastAsia="仿宋_GB2312" w:cs="仿宋_GB2312"/>
          <w:sz w:val="32"/>
          <w:szCs w:val="32"/>
        </w:rPr>
        <w:t>推免生遴选与接收基本条件如下：</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1.拥护中国共产党的领导和社会主义制度，具有高尚的爱国主义情操和集体主义精神，社会责任感强，遵纪守法，积极向上，身心健康；</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2.诚实守信，学风端正，品行优良，无考试作弊或剽窃他人学术成果等学术不端行为；</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3.获得</w:t>
      </w:r>
      <w:bookmarkStart w:id="0" w:name="OLE_LINK1"/>
      <w:r>
        <w:rPr>
          <w:rFonts w:hint="eastAsia" w:ascii="仿宋_GB2312" w:hAnsi="宋体" w:eastAsia="仿宋_GB2312" w:cs="仿宋_GB2312"/>
          <w:sz w:val="32"/>
          <w:szCs w:val="32"/>
        </w:rPr>
        <w:t>本科前三学年应修课程全部学分</w:t>
      </w:r>
      <w:bookmarkEnd w:id="0"/>
      <w:r>
        <w:rPr>
          <w:rFonts w:hint="eastAsia" w:ascii="仿宋_GB2312" w:hAnsi="宋体" w:eastAsia="仿宋_GB2312" w:cs="仿宋_GB2312"/>
          <w:sz w:val="32"/>
          <w:szCs w:val="32"/>
        </w:rPr>
        <w:t>，且课程学分成绩</w:t>
      </w:r>
      <w:r>
        <w:rPr>
          <w:rFonts w:hint="eastAsia" w:ascii="仿宋_GB2312" w:hAnsi="宋体" w:eastAsia="仿宋_GB2312" w:cs="仿宋_GB2312"/>
          <w:sz w:val="32"/>
          <w:szCs w:val="32"/>
          <w:lang w:val="en-US" w:eastAsia="zh-CN"/>
        </w:rPr>
        <w:t>排名位于</w:t>
      </w:r>
      <w:r>
        <w:rPr>
          <w:rFonts w:hint="eastAsia" w:ascii="仿宋_GB2312" w:hAnsi="宋体" w:eastAsia="仿宋_GB2312" w:cs="仿宋_GB2312"/>
          <w:sz w:val="32"/>
          <w:szCs w:val="32"/>
        </w:rPr>
        <w:t>专业年级前50%；</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4.外语成绩：全国大学英语四级考试成绩在425分及以上或外语小语种四级成绩在60分及以上；</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5.具有从事学术研究志向，具有较强的创新意识、创新潜质和创新能力，且符合本实施细则规定的科研潜质考核要求。</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6</w:t>
      </w:r>
      <w:r>
        <w:rPr>
          <w:rFonts w:ascii="仿宋_GB2312" w:hAnsi="宋体" w:eastAsia="仿宋_GB2312" w:cs="仿宋_GB2312"/>
          <w:sz w:val="32"/>
          <w:szCs w:val="32"/>
        </w:rPr>
        <w:t>.</w:t>
      </w:r>
      <w:r>
        <w:rPr>
          <w:rFonts w:hint="eastAsia" w:ascii="仿宋_GB2312" w:hAnsi="宋体" w:eastAsia="仿宋_GB2312" w:cs="仿宋_GB2312"/>
          <w:sz w:val="32"/>
          <w:szCs w:val="32"/>
        </w:rPr>
        <w:t>接收的推免生必须取得所在学校的推荐资格，且能正常获得本科毕业证书和学士学位证书。</w:t>
      </w:r>
    </w:p>
    <w:p>
      <w:pPr>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7</w:t>
      </w:r>
      <w:r>
        <w:rPr>
          <w:rFonts w:ascii="仿宋_GB2312" w:hAnsi="宋体" w:eastAsia="仿宋_GB2312" w:cs="仿宋_GB2312"/>
          <w:sz w:val="32"/>
          <w:szCs w:val="32"/>
        </w:rPr>
        <w:t>.</w:t>
      </w:r>
      <w:r>
        <w:rPr>
          <w:rFonts w:hint="eastAsia" w:ascii="仿宋_GB2312" w:hAnsi="宋体" w:eastAsia="仿宋_GB2312" w:cs="仿宋_GB2312"/>
          <w:sz w:val="32"/>
          <w:szCs w:val="32"/>
        </w:rPr>
        <w:t>申请硕博连读生或直博生，全国大学英语六级考试成绩在425分及以上或外语小语种四级成绩在60分及以上。</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第四章  推荐指标分配</w:t>
      </w:r>
    </w:p>
    <w:p>
      <w:pPr>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 xml:space="preserve">第八条  </w:t>
      </w:r>
      <w:r>
        <w:rPr>
          <w:rFonts w:hint="eastAsia" w:ascii="仿宋_GB2312" w:hAnsi="宋体" w:eastAsia="仿宋_GB2312" w:cs="仿宋_GB2312"/>
          <w:bCs/>
          <w:sz w:val="32"/>
          <w:szCs w:val="32"/>
        </w:rPr>
        <w:t>推荐</w:t>
      </w:r>
      <w:r>
        <w:rPr>
          <w:rFonts w:hint="eastAsia" w:ascii="仿宋_GB2312" w:hAnsi="宋体" w:eastAsia="仿宋_GB2312" w:cs="仿宋_GB2312"/>
          <w:sz w:val="32"/>
          <w:szCs w:val="32"/>
        </w:rPr>
        <w:t>指标分为专项推荐指标和普通推荐指标。</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专项推荐指标以学校分配给学院的指标为准，根据学校相关单位要求或办法组织推荐。</w:t>
      </w:r>
    </w:p>
    <w:p>
      <w:pPr>
        <w:ind w:firstLine="640" w:firstLineChars="20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普通推荐指标根据各专业应届本科毕业生人数</w:t>
      </w:r>
      <w:r>
        <w:rPr>
          <w:rFonts w:hint="eastAsia" w:ascii="仿宋_GB2312" w:hAnsi="宋体" w:eastAsia="仿宋_GB2312" w:cs="仿宋_GB2312"/>
          <w:sz w:val="32"/>
          <w:szCs w:val="32"/>
          <w:lang w:val="en-US" w:eastAsia="zh-CN"/>
        </w:rPr>
        <w:t>与上年研究生招生情况</w:t>
      </w:r>
      <w:r>
        <w:rPr>
          <w:rFonts w:hint="eastAsia" w:ascii="仿宋_GB2312" w:hAnsi="宋体" w:eastAsia="仿宋_GB2312" w:cs="仿宋_GB2312"/>
          <w:sz w:val="32"/>
          <w:szCs w:val="32"/>
        </w:rPr>
        <w:t>计算专业推荐</w:t>
      </w:r>
      <w:r>
        <w:rPr>
          <w:rFonts w:ascii="仿宋_GB2312" w:hAnsi="宋体" w:eastAsia="仿宋_GB2312" w:cs="仿宋_GB2312"/>
          <w:sz w:val="32"/>
          <w:szCs w:val="32"/>
        </w:rPr>
        <w:t>指标</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专业推荐指标计算办法：</w:t>
      </w:r>
    </w:p>
    <w:p>
      <w:pPr>
        <w:ind w:firstLine="664"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pacing w:val="6"/>
          <w:sz w:val="32"/>
          <w:szCs w:val="32"/>
        </w:rPr>
        <w:t>专业推荐指标=[</w:t>
      </w:r>
      <w:r>
        <w:rPr>
          <w:rFonts w:hint="eastAsia" w:ascii="仿宋_GB2312" w:hAnsi="宋体" w:eastAsia="仿宋_GB2312" w:cs="仿宋_GB2312"/>
          <w:i/>
          <w:color w:val="000000"/>
          <w:spacing w:val="6"/>
          <w:sz w:val="32"/>
          <w:szCs w:val="32"/>
        </w:rPr>
        <w:t>K</w:t>
      </w:r>
      <w:r>
        <w:rPr>
          <w:rFonts w:hint="eastAsia" w:ascii="仿宋_GB2312" w:hAnsi="宋体" w:eastAsia="仿宋_GB2312" w:cs="仿宋_GB2312"/>
          <w:i/>
          <w:color w:val="000000"/>
          <w:spacing w:val="6"/>
          <w:sz w:val="32"/>
          <w:szCs w:val="32"/>
          <w:vertAlign w:val="subscript"/>
        </w:rPr>
        <w:t>1</w:t>
      </w:r>
      <w:r>
        <w:rPr>
          <w:rFonts w:hint="eastAsia" w:ascii="仿宋_GB2312" w:hAnsi="宋体" w:eastAsia="仿宋_GB2312" w:cs="仿宋_GB2312"/>
          <w:color w:val="000000"/>
          <w:spacing w:val="6"/>
          <w:sz w:val="32"/>
          <w:szCs w:val="32"/>
        </w:rPr>
        <w:t>专业应届本科毕业生</w:t>
      </w:r>
      <w:r>
        <w:rPr>
          <w:rFonts w:hint="eastAsia" w:ascii="仿宋_GB2312" w:hAnsi="宋体" w:eastAsia="仿宋_GB2312" w:cs="仿宋_GB2312"/>
          <w:color w:val="000000"/>
          <w:sz w:val="32"/>
          <w:szCs w:val="32"/>
        </w:rPr>
        <w:t>人数/全院应届本科毕业生总人数+</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2</w:t>
      </w:r>
      <w:r>
        <w:rPr>
          <w:rFonts w:hint="eastAsia" w:ascii="仿宋_GB2312" w:hAnsi="宋体" w:eastAsia="仿宋_GB2312" w:cs="仿宋_GB2312"/>
          <w:color w:val="000000"/>
          <w:sz w:val="32"/>
          <w:szCs w:val="32"/>
        </w:rPr>
        <w:t>×专业研究生招生计划数/学院研究生招生总数+</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3</w:t>
      </w:r>
      <w:r>
        <w:rPr>
          <w:rFonts w:hint="eastAsia" w:ascii="仿宋_GB2312" w:hAnsi="宋体" w:eastAsia="仿宋_GB2312" w:cs="仿宋_GB2312"/>
          <w:color w:val="000000"/>
          <w:sz w:val="32"/>
          <w:szCs w:val="32"/>
        </w:rPr>
        <w:t>专业上学年接收推免生数/全院上学年接收推免生数] ×全院可分配普通推荐指标</w:t>
      </w:r>
    </w:p>
    <w:p>
      <w:pPr>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1</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2</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3</w:t>
      </w:r>
      <w:r>
        <w:rPr>
          <w:rFonts w:hint="eastAsia" w:ascii="仿宋_GB2312" w:hAnsi="宋体" w:eastAsia="仿宋_GB2312" w:cs="仿宋_GB2312"/>
          <w:color w:val="000000"/>
          <w:sz w:val="32"/>
          <w:szCs w:val="32"/>
        </w:rPr>
        <w:t>为年度分配系数，</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1</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2</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3</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 xml:space="preserve"> </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1</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2</w:t>
      </w:r>
      <w:r>
        <w:rPr>
          <w:rFonts w:hint="eastAsia" w:ascii="仿宋_GB2312" w:hAnsi="宋体" w:eastAsia="仿宋_GB2312" w:cs="仿宋_GB2312"/>
          <w:color w:val="000000"/>
          <w:sz w:val="32"/>
          <w:szCs w:val="32"/>
        </w:rPr>
        <w:t>、</w:t>
      </w:r>
      <w:r>
        <w:rPr>
          <w:rFonts w:hint="eastAsia" w:ascii="仿宋_GB2312" w:hAnsi="宋体" w:eastAsia="仿宋_GB2312" w:cs="仿宋_GB2312"/>
          <w:i/>
          <w:color w:val="000000"/>
          <w:sz w:val="32"/>
          <w:szCs w:val="32"/>
        </w:rPr>
        <w:t>K</w:t>
      </w:r>
      <w:r>
        <w:rPr>
          <w:rFonts w:hint="eastAsia" w:ascii="仿宋_GB2312" w:hAnsi="宋体" w:eastAsia="仿宋_GB2312" w:cs="仿宋_GB2312"/>
          <w:i/>
          <w:color w:val="000000"/>
          <w:sz w:val="32"/>
          <w:szCs w:val="32"/>
          <w:vertAlign w:val="subscript"/>
        </w:rPr>
        <w:t>3</w:t>
      </w:r>
      <w:r>
        <w:rPr>
          <w:rFonts w:hint="eastAsia" w:ascii="仿宋_GB2312" w:hAnsi="宋体" w:eastAsia="仿宋_GB2312" w:cs="仿宋_GB2312"/>
          <w:color w:val="000000"/>
          <w:sz w:val="32"/>
          <w:szCs w:val="32"/>
        </w:rPr>
        <w:t>年度赋值参照学校年度分配系数。</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第五章  考核办法</w:t>
      </w:r>
    </w:p>
    <w:p>
      <w:pPr>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 xml:space="preserve">第九条  </w:t>
      </w:r>
      <w:r>
        <w:rPr>
          <w:rFonts w:hint="eastAsia" w:ascii="仿宋_GB2312" w:hAnsi="宋体" w:eastAsia="仿宋_GB2312" w:cs="仿宋_GB2312"/>
          <w:bCs/>
          <w:sz w:val="32"/>
          <w:szCs w:val="32"/>
        </w:rPr>
        <w:t>学院组织对符合推荐条件且申请推荐资格的学生进行综合考核。</w:t>
      </w:r>
      <w:r>
        <w:rPr>
          <w:rFonts w:hint="eastAsia" w:ascii="仿宋_GB2312" w:hAnsi="宋体" w:eastAsia="仿宋_GB2312" w:cs="仿宋_GB2312"/>
          <w:sz w:val="32"/>
          <w:szCs w:val="32"/>
        </w:rPr>
        <w:t>综合考核根据遴选与接收条件从思想政治品德、学业成绩、科研潜质三个方面进行，总分1</w:t>
      </w:r>
      <w:r>
        <w:rPr>
          <w:rFonts w:ascii="仿宋_GB2312" w:hAnsi="宋体" w:eastAsia="仿宋_GB2312" w:cs="仿宋_GB2312"/>
          <w:sz w:val="32"/>
          <w:szCs w:val="32"/>
        </w:rPr>
        <w:t>00</w:t>
      </w:r>
      <w:r>
        <w:rPr>
          <w:rFonts w:hint="eastAsia" w:ascii="仿宋_GB2312" w:hAnsi="宋体" w:eastAsia="仿宋_GB2312" w:cs="仿宋_GB2312"/>
          <w:sz w:val="32"/>
          <w:szCs w:val="32"/>
        </w:rPr>
        <w:t>分。其中，思想政治品德占1</w:t>
      </w:r>
      <w:r>
        <w:rPr>
          <w:rFonts w:ascii="仿宋_GB2312" w:hAnsi="宋体" w:eastAsia="仿宋_GB2312" w:cs="仿宋_GB2312"/>
          <w:sz w:val="32"/>
          <w:szCs w:val="32"/>
        </w:rPr>
        <w:t>0</w:t>
      </w:r>
      <w:r>
        <w:rPr>
          <w:rFonts w:hint="eastAsia" w:ascii="仿宋_GB2312" w:hAnsi="宋体" w:eastAsia="仿宋_GB2312" w:cs="仿宋_GB2312"/>
          <w:sz w:val="32"/>
          <w:szCs w:val="32"/>
        </w:rPr>
        <w:t>%，学业成绩占</w:t>
      </w:r>
      <w:r>
        <w:rPr>
          <w:rFonts w:ascii="仿宋_GB2312" w:hAnsi="宋体" w:eastAsia="仿宋_GB2312" w:cs="仿宋_GB2312"/>
          <w:sz w:val="32"/>
          <w:szCs w:val="32"/>
        </w:rPr>
        <w:t>40</w:t>
      </w:r>
      <w:r>
        <w:rPr>
          <w:rFonts w:hint="eastAsia" w:ascii="仿宋_GB2312" w:hAnsi="宋体" w:eastAsia="仿宋_GB2312" w:cs="仿宋_GB2312"/>
          <w:sz w:val="32"/>
          <w:szCs w:val="32"/>
        </w:rPr>
        <w:t>%、科研潜质考核成绩占</w:t>
      </w:r>
      <w:r>
        <w:rPr>
          <w:rFonts w:ascii="仿宋_GB2312" w:hAnsi="宋体" w:eastAsia="仿宋_GB2312" w:cs="仿宋_GB2312"/>
          <w:sz w:val="32"/>
          <w:szCs w:val="32"/>
        </w:rPr>
        <w:t>5</w:t>
      </w:r>
      <w:r>
        <w:rPr>
          <w:rFonts w:hint="eastAsia" w:ascii="仿宋_GB2312" w:hAnsi="宋体" w:eastAsia="仿宋_GB2312" w:cs="仿宋_GB2312"/>
          <w:sz w:val="32"/>
          <w:szCs w:val="32"/>
        </w:rPr>
        <w:t>0%</w:t>
      </w:r>
      <w:r>
        <w:rPr>
          <w:rFonts w:ascii="仿宋_GB2312" w:hAnsi="宋体" w:eastAsia="仿宋_GB2312" w:cs="仿宋_GB2312"/>
          <w:sz w:val="32"/>
          <w:szCs w:val="32"/>
        </w:rPr>
        <w:t>。</w:t>
      </w:r>
    </w:p>
    <w:p>
      <w:pPr>
        <w:ind w:firstLine="643" w:firstLineChars="200"/>
        <w:rPr>
          <w:rFonts w:hint="eastAsia" w:ascii="仿宋_GB2312" w:hAnsi="宋体" w:eastAsia="仿宋_GB2312"/>
          <w:sz w:val="32"/>
          <w:szCs w:val="32"/>
        </w:rPr>
      </w:pPr>
      <w:r>
        <w:rPr>
          <w:rFonts w:hint="eastAsia" w:ascii="仿宋_GB2312" w:hAnsi="宋体" w:eastAsia="仿宋_GB2312" w:cs="仿宋_GB2312"/>
          <w:b/>
          <w:bCs/>
          <w:sz w:val="32"/>
          <w:szCs w:val="32"/>
        </w:rPr>
        <w:t xml:space="preserve">第十条  </w:t>
      </w:r>
      <w:r>
        <w:rPr>
          <w:rFonts w:hint="eastAsia" w:ascii="仿宋_GB2312" w:hAnsi="宋体" w:eastAsia="仿宋_GB2312" w:cs="仿宋_GB2312"/>
          <w:sz w:val="32"/>
          <w:szCs w:val="32"/>
        </w:rPr>
        <w:t>思想政治品德考核满分1</w:t>
      </w:r>
      <w:r>
        <w:rPr>
          <w:rFonts w:ascii="仿宋_GB2312" w:hAnsi="宋体" w:eastAsia="仿宋_GB2312" w:cs="仿宋_GB2312"/>
          <w:sz w:val="32"/>
          <w:szCs w:val="32"/>
        </w:rPr>
        <w:t>00</w:t>
      </w:r>
      <w:r>
        <w:rPr>
          <w:rFonts w:hint="eastAsia" w:ascii="仿宋_GB2312" w:hAnsi="宋体" w:eastAsia="仿宋_GB2312" w:cs="仿宋_GB2312"/>
          <w:sz w:val="32"/>
          <w:szCs w:val="32"/>
        </w:rPr>
        <w:t>分，包括思政课成绩、综测德育成绩等部分组成，评分实施细则由党委学工部制定。非我院应届毕业生原始成绩由推荐单位提供。同时在考核过程中，实行思想品德考核一票否决制。</w:t>
      </w:r>
    </w:p>
    <w:p>
      <w:pPr>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 xml:space="preserve">第十一条  </w:t>
      </w:r>
      <w:r>
        <w:rPr>
          <w:rFonts w:hint="eastAsia" w:ascii="仿宋_GB2312" w:hAnsi="宋体" w:eastAsia="仿宋_GB2312" w:cs="仿宋_GB2312"/>
          <w:sz w:val="32"/>
          <w:szCs w:val="32"/>
        </w:rPr>
        <w:t>学业成绩为前三学年应修课程全部学分成绩，满分</w:t>
      </w:r>
      <w:r>
        <w:rPr>
          <w:rFonts w:ascii="仿宋_GB2312" w:hAnsi="宋体" w:eastAsia="仿宋_GB2312" w:cs="仿宋_GB2312"/>
          <w:sz w:val="32"/>
          <w:szCs w:val="32"/>
        </w:rPr>
        <w:t>100</w:t>
      </w:r>
      <w:r>
        <w:rPr>
          <w:rFonts w:hint="eastAsia" w:ascii="仿宋_GB2312" w:hAnsi="宋体" w:eastAsia="仿宋_GB2312" w:cs="仿宋_GB2312"/>
          <w:sz w:val="32"/>
          <w:szCs w:val="32"/>
        </w:rPr>
        <w:t>分，评分实施细则由教务处制定。非我院应届毕业生原始成绩由推荐单位提供。</w:t>
      </w:r>
    </w:p>
    <w:p>
      <w:pPr>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 xml:space="preserve">第十二条  </w:t>
      </w:r>
      <w:r>
        <w:rPr>
          <w:rFonts w:hint="eastAsia" w:ascii="仿宋_GB2312" w:hAnsi="宋体" w:eastAsia="仿宋_GB2312" w:cs="仿宋_GB2312"/>
          <w:sz w:val="32"/>
          <w:szCs w:val="32"/>
        </w:rPr>
        <w:t>科研潜质考核包括创新创业经历、学术成果、学术竞赛获奖、科研能力面试评价，各项所占分数分别为</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1</w:t>
      </w:r>
      <w:r>
        <w:rPr>
          <w:rFonts w:ascii="仿宋_GB2312" w:hAnsi="宋体" w:eastAsia="仿宋_GB2312" w:cs="仿宋_GB2312"/>
          <w:sz w:val="32"/>
          <w:szCs w:val="32"/>
        </w:rPr>
        <w:t>0</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80</w:t>
      </w:r>
      <w:r>
        <w:rPr>
          <w:rFonts w:hint="eastAsia" w:ascii="仿宋_GB2312" w:hAnsi="宋体" w:eastAsia="仿宋_GB2312" w:cs="仿宋_GB2312"/>
          <w:sz w:val="32"/>
          <w:szCs w:val="32"/>
        </w:rPr>
        <w:t>，满分</w:t>
      </w:r>
      <w:r>
        <w:rPr>
          <w:rFonts w:ascii="仿宋_GB2312" w:hAnsi="宋体" w:eastAsia="仿宋_GB2312" w:cs="仿宋_GB2312"/>
          <w:sz w:val="32"/>
          <w:szCs w:val="32"/>
        </w:rPr>
        <w:t>10</w:t>
      </w:r>
      <w:r>
        <w:rPr>
          <w:rFonts w:hint="eastAsia" w:ascii="仿宋_GB2312" w:hAnsi="宋体" w:eastAsia="仿宋_GB2312" w:cs="仿宋_GB2312"/>
          <w:sz w:val="32"/>
          <w:szCs w:val="32"/>
        </w:rPr>
        <w:t>0分。</w:t>
      </w:r>
    </w:p>
    <w:p>
      <w:pPr>
        <w:ind w:firstLine="643" w:firstLineChars="200"/>
        <w:rPr>
          <w:rFonts w:ascii="仿宋_GB2312" w:hAnsi="宋体" w:eastAsia="仿宋_GB2312" w:cs="仿宋_GB2312"/>
          <w:bCs/>
          <w:sz w:val="32"/>
          <w:szCs w:val="32"/>
        </w:rPr>
      </w:pPr>
      <w:r>
        <w:rPr>
          <w:rFonts w:hint="eastAsia" w:ascii="仿宋_GB2312" w:hAnsi="宋体" w:eastAsia="仿宋_GB2312" w:cs="仿宋_GB2312"/>
          <w:b/>
          <w:bCs/>
          <w:sz w:val="32"/>
          <w:szCs w:val="32"/>
        </w:rPr>
        <w:t xml:space="preserve">第十三条  </w:t>
      </w:r>
      <w:r>
        <w:rPr>
          <w:rFonts w:hint="eastAsia" w:ascii="仿宋_GB2312" w:hAnsi="宋体" w:eastAsia="仿宋_GB2312" w:cs="仿宋_GB2312"/>
          <w:bCs/>
          <w:sz w:val="32"/>
          <w:szCs w:val="32"/>
        </w:rPr>
        <w:t>科研潜质考核形式与记分方法。</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创新创业项目经历指在我校参与的创新创业项目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创新类和创业类最多各认定1项</w:t>
      </w:r>
      <w:r>
        <w:rPr>
          <w:rFonts w:hint="eastAsia" w:ascii="仿宋_GB2312" w:hAnsi="宋体" w:eastAsia="仿宋_GB2312"/>
          <w:sz w:val="32"/>
          <w:szCs w:val="32"/>
          <w:lang w:eastAsia="zh-CN"/>
        </w:rPr>
        <w:t>）</w:t>
      </w:r>
      <w:r>
        <w:rPr>
          <w:rFonts w:hint="eastAsia" w:ascii="仿宋_GB2312" w:hAnsi="宋体" w:eastAsia="仿宋_GB2312"/>
          <w:sz w:val="32"/>
          <w:szCs w:val="32"/>
        </w:rPr>
        <w:t>，满分</w:t>
      </w:r>
      <w:r>
        <w:rPr>
          <w:rFonts w:hint="eastAsia" w:ascii="仿宋_GB2312" w:hAnsi="宋体" w:eastAsia="仿宋_GB2312"/>
          <w:sz w:val="32"/>
          <w:szCs w:val="32"/>
          <w:lang w:val="en-US" w:eastAsia="zh-CN"/>
        </w:rPr>
        <w:t>5</w:t>
      </w:r>
      <w:r>
        <w:rPr>
          <w:rFonts w:hint="eastAsia" w:ascii="仿宋_GB2312" w:hAnsi="宋体" w:eastAsia="仿宋_GB2312"/>
          <w:sz w:val="32"/>
          <w:szCs w:val="32"/>
        </w:rPr>
        <w:t>分。记分办法：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2"/>
        <w:gridCol w:w="705"/>
        <w:gridCol w:w="705"/>
        <w:gridCol w:w="705"/>
        <w:gridCol w:w="705"/>
        <w:gridCol w:w="705"/>
        <w:gridCol w:w="705"/>
        <w:gridCol w:w="705"/>
        <w:gridCol w:w="705"/>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2" w:type="dxa"/>
            <w:vMerge w:val="restart"/>
            <w:tcBorders>
              <w:top w:val="single" w:color="auto" w:sz="4" w:space="0"/>
            </w:tcBorders>
            <w:noWrap w:val="0"/>
            <w:vAlign w:val="center"/>
          </w:tcPr>
          <w:p>
            <w:pPr>
              <w:spacing w:line="360" w:lineRule="auto"/>
              <w:jc w:val="center"/>
              <w:rPr>
                <w:szCs w:val="21"/>
              </w:rPr>
            </w:pPr>
            <w:r>
              <w:rPr>
                <w:rFonts w:hAnsi="宋体"/>
                <w:szCs w:val="21"/>
              </w:rPr>
              <w:t>类别</w:t>
            </w:r>
          </w:p>
        </w:tc>
        <w:tc>
          <w:tcPr>
            <w:tcW w:w="2115" w:type="dxa"/>
            <w:gridSpan w:val="3"/>
            <w:tcBorders>
              <w:top w:val="single" w:color="auto" w:sz="4" w:space="0"/>
              <w:bottom w:val="single" w:color="auto" w:sz="4" w:space="0"/>
            </w:tcBorders>
            <w:noWrap w:val="0"/>
            <w:vAlign w:val="center"/>
          </w:tcPr>
          <w:p>
            <w:pPr>
              <w:spacing w:line="360" w:lineRule="auto"/>
              <w:jc w:val="center"/>
              <w:rPr>
                <w:szCs w:val="21"/>
              </w:rPr>
            </w:pPr>
            <w:r>
              <w:rPr>
                <w:rFonts w:hAnsi="宋体"/>
                <w:szCs w:val="21"/>
              </w:rPr>
              <w:t>国家级</w:t>
            </w:r>
          </w:p>
        </w:tc>
        <w:tc>
          <w:tcPr>
            <w:tcW w:w="2115" w:type="dxa"/>
            <w:gridSpan w:val="3"/>
            <w:tcBorders>
              <w:top w:val="single" w:color="auto" w:sz="4" w:space="0"/>
              <w:bottom w:val="single" w:color="auto" w:sz="4" w:space="0"/>
            </w:tcBorders>
            <w:noWrap w:val="0"/>
            <w:vAlign w:val="center"/>
          </w:tcPr>
          <w:p>
            <w:pPr>
              <w:spacing w:line="360" w:lineRule="auto"/>
              <w:jc w:val="center"/>
              <w:rPr>
                <w:szCs w:val="21"/>
              </w:rPr>
            </w:pPr>
            <w:r>
              <w:rPr>
                <w:rFonts w:hAnsi="宋体"/>
                <w:szCs w:val="21"/>
              </w:rPr>
              <w:t>省级</w:t>
            </w:r>
          </w:p>
        </w:tc>
        <w:tc>
          <w:tcPr>
            <w:tcW w:w="2116" w:type="dxa"/>
            <w:gridSpan w:val="3"/>
            <w:tcBorders>
              <w:top w:val="single" w:color="auto" w:sz="4" w:space="0"/>
              <w:bottom w:val="single" w:color="auto" w:sz="4" w:space="0"/>
            </w:tcBorders>
            <w:noWrap w:val="0"/>
            <w:vAlign w:val="center"/>
          </w:tcPr>
          <w:p>
            <w:pPr>
              <w:spacing w:line="360" w:lineRule="auto"/>
              <w:jc w:val="center"/>
              <w:rPr>
                <w:szCs w:val="21"/>
              </w:rPr>
            </w:pPr>
            <w:r>
              <w:rPr>
                <w:rFonts w:hAnsi="宋体"/>
                <w:szCs w:val="21"/>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32" w:type="dxa"/>
            <w:vMerge w:val="continue"/>
            <w:tcBorders>
              <w:bottom w:val="single" w:color="auto" w:sz="4" w:space="0"/>
            </w:tcBorders>
            <w:noWrap w:val="0"/>
            <w:vAlign w:val="center"/>
          </w:tcPr>
          <w:p>
            <w:pPr>
              <w:spacing w:line="360" w:lineRule="auto"/>
              <w:jc w:val="center"/>
              <w:rPr>
                <w:szCs w:val="21"/>
              </w:rPr>
            </w:pP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705"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706"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32" w:type="dxa"/>
            <w:tcBorders>
              <w:top w:val="single" w:color="auto" w:sz="4" w:space="0"/>
            </w:tcBorders>
            <w:noWrap w:val="0"/>
            <w:vAlign w:val="center"/>
          </w:tcPr>
          <w:p>
            <w:pPr>
              <w:spacing w:line="360" w:lineRule="auto"/>
              <w:jc w:val="center"/>
              <w:rPr>
                <w:szCs w:val="21"/>
              </w:rPr>
            </w:pPr>
            <w:r>
              <w:rPr>
                <w:rFonts w:hAnsi="宋体"/>
                <w:szCs w:val="21"/>
              </w:rPr>
              <w:t>主持人</w:t>
            </w:r>
          </w:p>
        </w:tc>
        <w:tc>
          <w:tcPr>
            <w:tcW w:w="705" w:type="dxa"/>
            <w:tcBorders>
              <w:top w:val="single" w:color="auto" w:sz="4" w:space="0"/>
            </w:tcBorders>
            <w:noWrap w:val="0"/>
            <w:vAlign w:val="center"/>
          </w:tcPr>
          <w:p>
            <w:pPr>
              <w:jc w:val="center"/>
              <w:rPr>
                <w:szCs w:val="21"/>
              </w:rPr>
            </w:pPr>
            <w:r>
              <w:rPr>
                <w:rFonts w:hint="eastAsia"/>
                <w:szCs w:val="21"/>
                <w:lang w:val="en-US" w:eastAsia="zh-CN"/>
              </w:rPr>
              <w:t>5</w:t>
            </w:r>
          </w:p>
        </w:tc>
        <w:tc>
          <w:tcPr>
            <w:tcW w:w="705"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705" w:type="dxa"/>
            <w:tcBorders>
              <w:top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1.5</w:t>
            </w:r>
          </w:p>
        </w:tc>
        <w:tc>
          <w:tcPr>
            <w:tcW w:w="705"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4</w:t>
            </w:r>
          </w:p>
        </w:tc>
        <w:tc>
          <w:tcPr>
            <w:tcW w:w="705"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705"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705" w:type="dxa"/>
            <w:tcBorders>
              <w:top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3</w:t>
            </w:r>
          </w:p>
        </w:tc>
        <w:tc>
          <w:tcPr>
            <w:tcW w:w="705" w:type="dxa"/>
            <w:tcBorders>
              <w:top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1</w:t>
            </w:r>
          </w:p>
        </w:tc>
        <w:tc>
          <w:tcPr>
            <w:tcW w:w="706" w:type="dxa"/>
            <w:tcBorders>
              <w:top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2" w:type="dxa"/>
            <w:tcBorders>
              <w:bottom w:val="single" w:color="auto" w:sz="4" w:space="0"/>
            </w:tcBorders>
            <w:noWrap w:val="0"/>
            <w:vAlign w:val="center"/>
          </w:tcPr>
          <w:p>
            <w:pPr>
              <w:spacing w:line="360" w:lineRule="auto"/>
              <w:jc w:val="center"/>
              <w:rPr>
                <w:szCs w:val="21"/>
              </w:rPr>
            </w:pPr>
            <w:r>
              <w:rPr>
                <w:rFonts w:hAnsi="宋体"/>
                <w:szCs w:val="21"/>
              </w:rPr>
              <w:t>参与人</w:t>
            </w:r>
          </w:p>
        </w:tc>
        <w:tc>
          <w:tcPr>
            <w:tcW w:w="705" w:type="dxa"/>
            <w:tcBorders>
              <w:bottom w:val="single" w:color="auto" w:sz="4" w:space="0"/>
            </w:tcBorders>
            <w:noWrap w:val="0"/>
            <w:vAlign w:val="center"/>
          </w:tcPr>
          <w:p>
            <w:pPr>
              <w:jc w:val="center"/>
              <w:rPr>
                <w:rFonts w:hint="eastAsia"/>
                <w:szCs w:val="21"/>
                <w:lang w:val="en-US" w:eastAsia="zh-CN"/>
              </w:rPr>
            </w:pPr>
            <w:r>
              <w:rPr>
                <w:rFonts w:hint="eastAsia"/>
                <w:szCs w:val="21"/>
                <w:lang w:val="en-US" w:eastAsia="zh-CN"/>
              </w:rPr>
              <w:t>3</w:t>
            </w:r>
          </w:p>
        </w:tc>
        <w:tc>
          <w:tcPr>
            <w:tcW w:w="705" w:type="dxa"/>
            <w:tcBorders>
              <w:bottom w:val="single" w:color="auto" w:sz="4" w:space="0"/>
            </w:tcBorders>
            <w:noWrap w:val="0"/>
            <w:vAlign w:val="center"/>
          </w:tcPr>
          <w:p>
            <w:pPr>
              <w:jc w:val="center"/>
              <w:rPr>
                <w:rFonts w:hint="default"/>
                <w:szCs w:val="21"/>
                <w:lang w:val="en-US" w:eastAsia="zh-CN"/>
              </w:rPr>
            </w:pPr>
            <w:r>
              <w:rPr>
                <w:rFonts w:hint="eastAsia"/>
                <w:szCs w:val="21"/>
                <w:lang w:val="en-US" w:eastAsia="zh-CN"/>
              </w:rPr>
              <w:t>1.5</w:t>
            </w:r>
          </w:p>
        </w:tc>
        <w:tc>
          <w:tcPr>
            <w:tcW w:w="705"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705"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705"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705" w:type="dxa"/>
            <w:tcBorders>
              <w:bottom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0.5</w:t>
            </w:r>
          </w:p>
        </w:tc>
        <w:tc>
          <w:tcPr>
            <w:tcW w:w="705" w:type="dxa"/>
            <w:tcBorders>
              <w:bottom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1</w:t>
            </w:r>
          </w:p>
        </w:tc>
        <w:tc>
          <w:tcPr>
            <w:tcW w:w="705" w:type="dxa"/>
            <w:tcBorders>
              <w:bottom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0.5</w:t>
            </w:r>
          </w:p>
        </w:tc>
        <w:tc>
          <w:tcPr>
            <w:tcW w:w="706"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0</w:t>
            </w:r>
          </w:p>
        </w:tc>
      </w:tr>
    </w:tbl>
    <w:p>
      <w:pPr>
        <w:ind w:firstLine="640" w:firstLineChars="200"/>
        <w:rPr>
          <w:rFonts w:ascii="仿宋_GB2312" w:hAnsi="宋体" w:eastAsia="仿宋_GB2312"/>
          <w:sz w:val="32"/>
          <w:szCs w:val="32"/>
        </w:rPr>
      </w:pPr>
      <w:r>
        <w:rPr>
          <w:rFonts w:hint="eastAsia" w:ascii="仿宋_GB2312" w:hAnsi="宋体" w:eastAsia="仿宋_GB2312"/>
          <w:sz w:val="32"/>
          <w:szCs w:val="32"/>
        </w:rPr>
        <w:t>注：A指已结题且结果为优秀，B指已结题且结果为合格，C指未结题。</w:t>
      </w:r>
    </w:p>
    <w:p>
      <w:pPr>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学术成果指参与公开发表与专业相关的学术论文、申请授权的专利或著作权，满分</w:t>
      </w:r>
      <w:r>
        <w:rPr>
          <w:rFonts w:hint="eastAsia" w:ascii="仿宋_GB2312" w:hAnsi="宋体" w:eastAsia="仿宋_GB2312"/>
          <w:sz w:val="32"/>
          <w:szCs w:val="32"/>
          <w:lang w:val="en-US" w:eastAsia="zh-CN"/>
        </w:rPr>
        <w:t>1</w:t>
      </w:r>
      <w:r>
        <w:rPr>
          <w:rFonts w:ascii="仿宋_GB2312" w:hAnsi="宋体" w:eastAsia="仿宋_GB2312"/>
          <w:sz w:val="32"/>
          <w:szCs w:val="32"/>
        </w:rPr>
        <w:t>0</w:t>
      </w:r>
      <w:r>
        <w:rPr>
          <w:rFonts w:hint="eastAsia" w:ascii="仿宋_GB2312" w:hAnsi="宋体" w:eastAsia="仿宋_GB2312"/>
          <w:sz w:val="32"/>
          <w:szCs w:val="32"/>
        </w:rPr>
        <w:t>分。记分办法：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8"/>
        <w:gridCol w:w="770"/>
        <w:gridCol w:w="770"/>
        <w:gridCol w:w="770"/>
        <w:gridCol w:w="770"/>
        <w:gridCol w:w="795"/>
        <w:gridCol w:w="109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8" w:type="dxa"/>
            <w:vMerge w:val="restart"/>
            <w:tcBorders>
              <w:top w:val="single" w:color="auto" w:sz="4" w:space="0"/>
            </w:tcBorders>
            <w:noWrap w:val="0"/>
            <w:vAlign w:val="center"/>
          </w:tcPr>
          <w:p>
            <w:pPr>
              <w:spacing w:line="360" w:lineRule="auto"/>
              <w:jc w:val="center"/>
              <w:rPr>
                <w:szCs w:val="21"/>
              </w:rPr>
            </w:pPr>
            <w:r>
              <w:rPr>
                <w:rFonts w:hAnsi="宋体"/>
                <w:szCs w:val="21"/>
              </w:rPr>
              <w:t>类别</w:t>
            </w:r>
          </w:p>
        </w:tc>
        <w:tc>
          <w:tcPr>
            <w:tcW w:w="3875" w:type="dxa"/>
            <w:gridSpan w:val="5"/>
            <w:tcBorders>
              <w:top w:val="single" w:color="auto" w:sz="4" w:space="0"/>
              <w:bottom w:val="single" w:color="auto" w:sz="4" w:space="0"/>
            </w:tcBorders>
            <w:noWrap w:val="0"/>
            <w:vAlign w:val="top"/>
          </w:tcPr>
          <w:p>
            <w:pPr>
              <w:spacing w:line="360" w:lineRule="auto"/>
              <w:jc w:val="center"/>
              <w:rPr>
                <w:szCs w:val="21"/>
              </w:rPr>
            </w:pPr>
            <w:r>
              <w:rPr>
                <w:rFonts w:hAnsi="宋体"/>
                <w:szCs w:val="21"/>
              </w:rPr>
              <w:t>论文</w:t>
            </w:r>
          </w:p>
        </w:tc>
        <w:tc>
          <w:tcPr>
            <w:tcW w:w="1095" w:type="dxa"/>
            <w:vMerge w:val="restart"/>
            <w:tcBorders>
              <w:top w:val="single" w:color="auto" w:sz="4" w:space="0"/>
            </w:tcBorders>
            <w:noWrap w:val="0"/>
            <w:vAlign w:val="center"/>
          </w:tcPr>
          <w:p>
            <w:pPr>
              <w:spacing w:line="360" w:lineRule="auto"/>
              <w:jc w:val="center"/>
              <w:rPr>
                <w:szCs w:val="21"/>
              </w:rPr>
            </w:pPr>
            <w:r>
              <w:rPr>
                <w:rFonts w:hAnsi="宋体"/>
                <w:szCs w:val="21"/>
              </w:rPr>
              <w:t>授权专利</w:t>
            </w:r>
          </w:p>
        </w:tc>
        <w:tc>
          <w:tcPr>
            <w:tcW w:w="944" w:type="dxa"/>
            <w:vMerge w:val="restart"/>
            <w:tcBorders>
              <w:top w:val="single" w:color="auto" w:sz="4" w:space="0"/>
            </w:tcBorders>
            <w:noWrap w:val="0"/>
            <w:vAlign w:val="center"/>
          </w:tcPr>
          <w:p>
            <w:pPr>
              <w:spacing w:line="360" w:lineRule="auto"/>
              <w:jc w:val="center"/>
              <w:rPr>
                <w:szCs w:val="21"/>
              </w:rPr>
            </w:pPr>
            <w:r>
              <w:rPr>
                <w:rFonts w:hAnsi="宋体"/>
                <w:szCs w:val="21"/>
              </w:rPr>
              <w:t>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8" w:type="dxa"/>
            <w:vMerge w:val="continue"/>
            <w:tcBorders>
              <w:bottom w:val="single" w:color="auto" w:sz="4" w:space="0"/>
            </w:tcBorders>
            <w:noWrap w:val="0"/>
            <w:vAlign w:val="center"/>
          </w:tcPr>
          <w:p>
            <w:pPr>
              <w:spacing w:line="360" w:lineRule="auto"/>
              <w:jc w:val="center"/>
              <w:rPr>
                <w:szCs w:val="21"/>
              </w:rPr>
            </w:pPr>
          </w:p>
        </w:tc>
        <w:tc>
          <w:tcPr>
            <w:tcW w:w="770" w:type="dxa"/>
            <w:tcBorders>
              <w:top w:val="single" w:color="auto" w:sz="4" w:space="0"/>
              <w:bottom w:val="single" w:color="auto" w:sz="4" w:space="0"/>
            </w:tcBorders>
            <w:noWrap w:val="0"/>
            <w:vAlign w:val="top"/>
          </w:tcPr>
          <w:p>
            <w:pPr>
              <w:spacing w:line="360" w:lineRule="auto"/>
              <w:jc w:val="center"/>
              <w:rPr>
                <w:szCs w:val="21"/>
              </w:rPr>
            </w:pPr>
            <w:r>
              <w:rPr>
                <w:szCs w:val="21"/>
              </w:rPr>
              <w:t>A</w:t>
            </w:r>
          </w:p>
        </w:tc>
        <w:tc>
          <w:tcPr>
            <w:tcW w:w="770"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770" w:type="dxa"/>
            <w:tcBorders>
              <w:top w:val="single" w:color="auto" w:sz="4" w:space="0"/>
              <w:bottom w:val="single" w:color="auto" w:sz="4" w:space="0"/>
            </w:tcBorders>
            <w:noWrap w:val="0"/>
            <w:vAlign w:val="top"/>
          </w:tcPr>
          <w:p>
            <w:pPr>
              <w:spacing w:line="360" w:lineRule="auto"/>
              <w:jc w:val="center"/>
              <w:rPr>
                <w:szCs w:val="21"/>
              </w:rPr>
            </w:pPr>
            <w:r>
              <w:rPr>
                <w:szCs w:val="21"/>
              </w:rPr>
              <w:t>C</w:t>
            </w:r>
          </w:p>
        </w:tc>
        <w:tc>
          <w:tcPr>
            <w:tcW w:w="770" w:type="dxa"/>
            <w:tcBorders>
              <w:top w:val="single" w:color="auto" w:sz="4" w:space="0"/>
              <w:bottom w:val="single" w:color="auto" w:sz="4" w:space="0"/>
            </w:tcBorders>
            <w:noWrap w:val="0"/>
            <w:vAlign w:val="top"/>
          </w:tcPr>
          <w:p>
            <w:pPr>
              <w:spacing w:line="360" w:lineRule="auto"/>
              <w:jc w:val="center"/>
              <w:rPr>
                <w:szCs w:val="21"/>
              </w:rPr>
            </w:pPr>
            <w:r>
              <w:rPr>
                <w:szCs w:val="21"/>
              </w:rPr>
              <w:t>D</w:t>
            </w:r>
          </w:p>
        </w:tc>
        <w:tc>
          <w:tcPr>
            <w:tcW w:w="795" w:type="dxa"/>
            <w:tcBorders>
              <w:top w:val="single" w:color="auto" w:sz="4" w:space="0"/>
              <w:bottom w:val="single" w:color="auto" w:sz="4" w:space="0"/>
            </w:tcBorders>
            <w:noWrap w:val="0"/>
            <w:vAlign w:val="top"/>
          </w:tcPr>
          <w:p>
            <w:pPr>
              <w:spacing w:line="360" w:lineRule="auto"/>
              <w:jc w:val="center"/>
              <w:rPr>
                <w:szCs w:val="21"/>
              </w:rPr>
            </w:pPr>
            <w:r>
              <w:rPr>
                <w:szCs w:val="21"/>
              </w:rPr>
              <w:t>E</w:t>
            </w:r>
          </w:p>
        </w:tc>
        <w:tc>
          <w:tcPr>
            <w:tcW w:w="1095" w:type="dxa"/>
            <w:vMerge w:val="continue"/>
            <w:tcBorders>
              <w:bottom w:val="single" w:color="auto" w:sz="4" w:space="0"/>
            </w:tcBorders>
            <w:noWrap w:val="0"/>
            <w:vAlign w:val="center"/>
          </w:tcPr>
          <w:p>
            <w:pPr>
              <w:spacing w:line="360" w:lineRule="auto"/>
              <w:jc w:val="center"/>
              <w:rPr>
                <w:szCs w:val="21"/>
              </w:rPr>
            </w:pPr>
          </w:p>
        </w:tc>
        <w:tc>
          <w:tcPr>
            <w:tcW w:w="944" w:type="dxa"/>
            <w:vMerge w:val="continue"/>
            <w:tcBorders>
              <w:bottom w:val="single" w:color="auto" w:sz="4" w:space="0"/>
            </w:tcBorders>
            <w:noWrap w:val="0"/>
            <w:vAlign w:val="center"/>
          </w:tcPr>
          <w:p>
            <w:pPr>
              <w:spacing w:line="360" w:lineRule="auto"/>
              <w:jc w:val="cente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8" w:type="dxa"/>
            <w:tcBorders>
              <w:top w:val="single" w:color="auto" w:sz="4" w:space="0"/>
            </w:tcBorders>
            <w:noWrap w:val="0"/>
            <w:vAlign w:val="center"/>
          </w:tcPr>
          <w:p>
            <w:pPr>
              <w:spacing w:line="360" w:lineRule="auto"/>
              <w:jc w:val="center"/>
              <w:rPr>
                <w:szCs w:val="21"/>
              </w:rPr>
            </w:pPr>
            <w:r>
              <w:rPr>
                <w:rFonts w:hAnsi="宋体"/>
                <w:szCs w:val="21"/>
              </w:rPr>
              <w:t>第</w:t>
            </w:r>
            <w:r>
              <w:rPr>
                <w:szCs w:val="21"/>
              </w:rPr>
              <w:t>1</w:t>
            </w:r>
            <w:r>
              <w:rPr>
                <w:rFonts w:hAnsi="宋体"/>
                <w:szCs w:val="21"/>
              </w:rPr>
              <w:t>参与人</w:t>
            </w:r>
          </w:p>
        </w:tc>
        <w:tc>
          <w:tcPr>
            <w:tcW w:w="770" w:type="dxa"/>
            <w:tcBorders>
              <w:top w:val="single" w:color="auto" w:sz="4" w:space="0"/>
            </w:tcBorders>
            <w:noWrap w:val="0"/>
            <w:vAlign w:val="center"/>
          </w:tcPr>
          <w:p>
            <w:pPr>
              <w:jc w:val="center"/>
              <w:rPr>
                <w:szCs w:val="21"/>
              </w:rPr>
            </w:pPr>
            <w:r>
              <w:rPr>
                <w:rFonts w:hint="eastAsia"/>
                <w:szCs w:val="21"/>
                <w:lang w:val="en-US" w:eastAsia="zh-CN"/>
              </w:rPr>
              <w:t>1</w:t>
            </w:r>
            <w:r>
              <w:rPr>
                <w:szCs w:val="21"/>
              </w:rPr>
              <w:t>0</w:t>
            </w:r>
          </w:p>
        </w:tc>
        <w:tc>
          <w:tcPr>
            <w:tcW w:w="770"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6</w:t>
            </w:r>
          </w:p>
        </w:tc>
        <w:tc>
          <w:tcPr>
            <w:tcW w:w="770"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770"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6</w:t>
            </w:r>
          </w:p>
        </w:tc>
        <w:tc>
          <w:tcPr>
            <w:tcW w:w="795" w:type="dxa"/>
            <w:tcBorders>
              <w:top w:val="single" w:color="auto" w:sz="4" w:space="0"/>
            </w:tcBorders>
            <w:noWrap w:val="0"/>
            <w:vAlign w:val="center"/>
          </w:tcPr>
          <w:p>
            <w:pPr>
              <w:jc w:val="center"/>
              <w:rPr>
                <w:szCs w:val="21"/>
              </w:rPr>
            </w:pPr>
            <w:r>
              <w:rPr>
                <w:rFonts w:hint="eastAsia"/>
                <w:szCs w:val="21"/>
                <w:lang w:val="en-US" w:eastAsia="zh-CN"/>
              </w:rPr>
              <w:t>3</w:t>
            </w:r>
          </w:p>
        </w:tc>
        <w:tc>
          <w:tcPr>
            <w:tcW w:w="1095" w:type="dxa"/>
            <w:tcBorders>
              <w:top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10</w:t>
            </w:r>
          </w:p>
        </w:tc>
        <w:tc>
          <w:tcPr>
            <w:tcW w:w="94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8" w:type="dxa"/>
            <w:noWrap w:val="0"/>
            <w:vAlign w:val="center"/>
          </w:tcPr>
          <w:p>
            <w:pPr>
              <w:spacing w:line="360" w:lineRule="auto"/>
              <w:jc w:val="center"/>
              <w:rPr>
                <w:szCs w:val="21"/>
              </w:rPr>
            </w:pPr>
            <w:r>
              <w:rPr>
                <w:rFonts w:hAnsi="宋体"/>
                <w:szCs w:val="21"/>
              </w:rPr>
              <w:t>第</w:t>
            </w:r>
            <w:r>
              <w:rPr>
                <w:szCs w:val="21"/>
              </w:rPr>
              <w:t>2</w:t>
            </w:r>
            <w:r>
              <w:rPr>
                <w:rFonts w:hAnsi="宋体"/>
                <w:szCs w:val="21"/>
              </w:rPr>
              <w:t>参与人</w:t>
            </w:r>
          </w:p>
        </w:tc>
        <w:tc>
          <w:tcPr>
            <w:tcW w:w="770" w:type="dxa"/>
            <w:noWrap w:val="0"/>
            <w:vAlign w:val="center"/>
          </w:tcPr>
          <w:p>
            <w:pPr>
              <w:jc w:val="center"/>
              <w:rPr>
                <w:rFonts w:hint="eastAsia" w:eastAsia="宋体"/>
                <w:szCs w:val="21"/>
                <w:lang w:eastAsia="zh-CN"/>
              </w:rPr>
            </w:pPr>
            <w:r>
              <w:rPr>
                <w:rFonts w:hint="eastAsia"/>
                <w:szCs w:val="21"/>
                <w:lang w:val="en-US" w:eastAsia="zh-CN"/>
              </w:rPr>
              <w:t>6</w:t>
            </w:r>
          </w:p>
        </w:tc>
        <w:tc>
          <w:tcPr>
            <w:tcW w:w="770" w:type="dxa"/>
            <w:noWrap w:val="0"/>
            <w:vAlign w:val="center"/>
          </w:tcPr>
          <w:p>
            <w:pPr>
              <w:jc w:val="center"/>
              <w:rPr>
                <w:rFonts w:hint="eastAsia" w:eastAsia="宋体"/>
                <w:szCs w:val="21"/>
                <w:lang w:eastAsia="zh-CN"/>
              </w:rPr>
            </w:pPr>
            <w:r>
              <w:rPr>
                <w:rFonts w:hint="eastAsia"/>
                <w:szCs w:val="21"/>
                <w:lang w:val="en-US" w:eastAsia="zh-CN"/>
              </w:rPr>
              <w:t>3</w:t>
            </w:r>
          </w:p>
        </w:tc>
        <w:tc>
          <w:tcPr>
            <w:tcW w:w="770" w:type="dxa"/>
            <w:noWrap w:val="0"/>
            <w:vAlign w:val="center"/>
          </w:tcPr>
          <w:p>
            <w:pPr>
              <w:jc w:val="center"/>
              <w:rPr>
                <w:rFonts w:hint="eastAsia" w:eastAsia="宋体"/>
                <w:szCs w:val="21"/>
                <w:lang w:eastAsia="zh-CN"/>
              </w:rPr>
            </w:pPr>
            <w:r>
              <w:rPr>
                <w:rFonts w:hint="eastAsia"/>
                <w:szCs w:val="21"/>
                <w:lang w:val="en-US" w:eastAsia="zh-CN"/>
              </w:rPr>
              <w:t>2</w:t>
            </w:r>
          </w:p>
        </w:tc>
        <w:tc>
          <w:tcPr>
            <w:tcW w:w="770" w:type="dxa"/>
            <w:noWrap w:val="0"/>
            <w:vAlign w:val="center"/>
          </w:tcPr>
          <w:p>
            <w:pPr>
              <w:jc w:val="center"/>
              <w:rPr>
                <w:rFonts w:hint="eastAsia" w:eastAsia="宋体"/>
                <w:szCs w:val="21"/>
                <w:lang w:eastAsia="zh-CN"/>
              </w:rPr>
            </w:pPr>
            <w:r>
              <w:rPr>
                <w:rFonts w:hint="eastAsia"/>
                <w:szCs w:val="21"/>
                <w:lang w:val="en-US" w:eastAsia="zh-CN"/>
              </w:rPr>
              <w:t>3</w:t>
            </w:r>
          </w:p>
        </w:tc>
        <w:tc>
          <w:tcPr>
            <w:tcW w:w="795" w:type="dxa"/>
            <w:noWrap w:val="0"/>
            <w:vAlign w:val="center"/>
          </w:tcPr>
          <w:p>
            <w:pPr>
              <w:jc w:val="center"/>
              <w:rPr>
                <w:szCs w:val="21"/>
              </w:rPr>
            </w:pPr>
            <w:r>
              <w:rPr>
                <w:rFonts w:hint="eastAsia"/>
                <w:szCs w:val="21"/>
                <w:lang w:val="en-US" w:eastAsia="zh-CN"/>
              </w:rPr>
              <w:t>2</w:t>
            </w:r>
          </w:p>
        </w:tc>
        <w:tc>
          <w:tcPr>
            <w:tcW w:w="1095" w:type="dxa"/>
            <w:noWrap w:val="0"/>
            <w:vAlign w:val="center"/>
          </w:tcPr>
          <w:p>
            <w:pPr>
              <w:jc w:val="center"/>
              <w:rPr>
                <w:rFonts w:hint="eastAsia" w:eastAsia="宋体"/>
                <w:szCs w:val="21"/>
                <w:lang w:eastAsia="zh-CN"/>
              </w:rPr>
            </w:pPr>
            <w:r>
              <w:rPr>
                <w:rFonts w:hint="eastAsia"/>
                <w:szCs w:val="21"/>
                <w:lang w:val="en-US" w:eastAsia="zh-CN"/>
              </w:rPr>
              <w:t>8</w:t>
            </w:r>
          </w:p>
        </w:tc>
        <w:tc>
          <w:tcPr>
            <w:tcW w:w="944" w:type="dxa"/>
            <w:noWrap w:val="0"/>
            <w:vAlign w:val="center"/>
          </w:tcPr>
          <w:p>
            <w:pPr>
              <w:jc w:val="center"/>
              <w:rPr>
                <w:rFonts w:hint="eastAsia" w:eastAsia="宋体"/>
                <w:szCs w:val="21"/>
                <w:lang w:eastAsia="zh-CN"/>
              </w:rPr>
            </w:pPr>
            <w:r>
              <w:rPr>
                <w:rFonts w:hint="eastAsia"/>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8" w:type="dxa"/>
            <w:tcBorders>
              <w:bottom w:val="single" w:color="auto" w:sz="4" w:space="0"/>
            </w:tcBorders>
            <w:noWrap w:val="0"/>
            <w:vAlign w:val="center"/>
          </w:tcPr>
          <w:p>
            <w:pPr>
              <w:spacing w:line="360" w:lineRule="auto"/>
              <w:jc w:val="center"/>
              <w:rPr>
                <w:szCs w:val="21"/>
              </w:rPr>
            </w:pPr>
            <w:r>
              <w:rPr>
                <w:rFonts w:hAnsi="宋体"/>
                <w:szCs w:val="21"/>
              </w:rPr>
              <w:t>第</w:t>
            </w:r>
            <w:r>
              <w:rPr>
                <w:szCs w:val="21"/>
              </w:rPr>
              <w:t>3</w:t>
            </w:r>
            <w:r>
              <w:rPr>
                <w:rFonts w:hAnsi="宋体"/>
                <w:szCs w:val="21"/>
              </w:rPr>
              <w:t>参与人</w:t>
            </w:r>
          </w:p>
        </w:tc>
        <w:tc>
          <w:tcPr>
            <w:tcW w:w="770"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770"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770"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770"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795" w:type="dxa"/>
            <w:tcBorders>
              <w:bottom w:val="single" w:color="auto" w:sz="4" w:space="0"/>
            </w:tcBorders>
            <w:noWrap w:val="0"/>
            <w:vAlign w:val="center"/>
          </w:tcPr>
          <w:p>
            <w:pPr>
              <w:jc w:val="center"/>
              <w:rPr>
                <w:szCs w:val="21"/>
              </w:rPr>
            </w:pPr>
            <w:r>
              <w:rPr>
                <w:rFonts w:hint="eastAsia"/>
                <w:szCs w:val="21"/>
                <w:lang w:val="en-US" w:eastAsia="zh-CN"/>
              </w:rPr>
              <w:t>1</w:t>
            </w:r>
          </w:p>
        </w:tc>
        <w:tc>
          <w:tcPr>
            <w:tcW w:w="1095"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6</w:t>
            </w:r>
          </w:p>
        </w:tc>
        <w:tc>
          <w:tcPr>
            <w:tcW w:w="94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r>
    </w:tbl>
    <w:p>
      <w:pPr>
        <w:ind w:firstLine="640" w:firstLineChars="200"/>
        <w:rPr>
          <w:rFonts w:ascii="仿宋_GB2312" w:hAnsi="宋体" w:eastAsia="仿宋_GB2312"/>
          <w:sz w:val="32"/>
          <w:szCs w:val="32"/>
        </w:rPr>
      </w:pPr>
      <w:r>
        <w:rPr>
          <w:rFonts w:hint="eastAsia" w:ascii="仿宋_GB2312" w:hAnsi="宋体" w:eastAsia="仿宋_GB2312"/>
          <w:sz w:val="32"/>
          <w:szCs w:val="32"/>
        </w:rPr>
        <w:t>注：A指</w:t>
      </w:r>
      <w:r>
        <w:rPr>
          <w:rFonts w:hint="eastAsia" w:ascii="仿宋_GB2312" w:hAnsi="宋体" w:eastAsia="仿宋_GB2312"/>
          <w:sz w:val="32"/>
          <w:szCs w:val="32"/>
          <w:lang w:val="en-US" w:eastAsia="zh-CN"/>
        </w:rPr>
        <w:t>中科院一区</w:t>
      </w:r>
      <w:r>
        <w:rPr>
          <w:rFonts w:hint="eastAsia" w:ascii="仿宋_GB2312" w:hAnsi="宋体" w:eastAsia="仿宋_GB2312"/>
          <w:sz w:val="32"/>
          <w:szCs w:val="32"/>
        </w:rPr>
        <w:t>期刊，B指</w:t>
      </w:r>
      <w:r>
        <w:rPr>
          <w:rFonts w:hint="eastAsia" w:ascii="仿宋_GB2312" w:hAnsi="宋体" w:eastAsia="仿宋_GB2312"/>
          <w:sz w:val="32"/>
          <w:szCs w:val="32"/>
          <w:lang w:val="en-US" w:eastAsia="zh-CN"/>
        </w:rPr>
        <w:t>中科院二区期刊</w:t>
      </w:r>
      <w:r>
        <w:rPr>
          <w:rFonts w:hint="eastAsia" w:ascii="仿宋_GB2312" w:hAnsi="宋体" w:eastAsia="仿宋_GB2312"/>
          <w:sz w:val="32"/>
          <w:szCs w:val="32"/>
        </w:rPr>
        <w:t>，C指</w:t>
      </w:r>
      <w:r>
        <w:rPr>
          <w:rFonts w:hint="eastAsia" w:ascii="仿宋_GB2312" w:hAnsi="宋体" w:eastAsia="仿宋_GB2312"/>
          <w:sz w:val="32"/>
          <w:szCs w:val="32"/>
          <w:lang w:val="en-US" w:eastAsia="zh-CN"/>
        </w:rPr>
        <w:t>中科院三区、四区期刊</w:t>
      </w:r>
      <w:r>
        <w:rPr>
          <w:rFonts w:hint="eastAsia" w:ascii="仿宋_GB2312" w:hAnsi="仿宋_GB2312" w:eastAsia="仿宋_GB2312"/>
          <w:sz w:val="32"/>
          <w:szCs w:val="32"/>
        </w:rPr>
        <w:t>，D指中文A类期刊，E指中文核心期刊。论文作者排序按作者自然排序。</w:t>
      </w:r>
    </w:p>
    <w:p>
      <w:pPr>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学术竞赛获奖指参与各类学科竞赛、学术竞赛、创新创业大赛并获奖</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限认定1项）</w:t>
      </w:r>
      <w:r>
        <w:rPr>
          <w:rFonts w:hint="eastAsia" w:ascii="仿宋_GB2312" w:hAnsi="宋体" w:eastAsia="仿宋_GB2312"/>
          <w:sz w:val="32"/>
          <w:szCs w:val="32"/>
        </w:rPr>
        <w:t>，满分</w:t>
      </w:r>
      <w:r>
        <w:rPr>
          <w:rFonts w:hint="eastAsia" w:ascii="仿宋_GB2312" w:hAnsi="宋体" w:eastAsia="仿宋_GB2312"/>
          <w:sz w:val="32"/>
          <w:szCs w:val="32"/>
          <w:lang w:val="en-US" w:eastAsia="zh-CN"/>
        </w:rPr>
        <w:t>5</w:t>
      </w:r>
      <w:r>
        <w:rPr>
          <w:rFonts w:hint="eastAsia" w:ascii="仿宋_GB2312" w:hAnsi="宋体" w:eastAsia="仿宋_GB2312"/>
          <w:sz w:val="32"/>
          <w:szCs w:val="32"/>
        </w:rPr>
        <w:t>分。记分方法：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654"/>
        <w:gridCol w:w="654"/>
        <w:gridCol w:w="654"/>
        <w:gridCol w:w="654"/>
        <w:gridCol w:w="654"/>
        <w:gridCol w:w="654"/>
        <w:gridCol w:w="654"/>
        <w:gridCol w:w="654"/>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Merge w:val="restart"/>
            <w:tcBorders>
              <w:top w:val="single" w:color="auto" w:sz="4" w:space="0"/>
            </w:tcBorders>
            <w:noWrap w:val="0"/>
            <w:vAlign w:val="center"/>
          </w:tcPr>
          <w:p>
            <w:pPr>
              <w:spacing w:line="360" w:lineRule="auto"/>
              <w:jc w:val="center"/>
              <w:rPr>
                <w:szCs w:val="21"/>
              </w:rPr>
            </w:pPr>
            <w:r>
              <w:rPr>
                <w:rFonts w:hAnsi="宋体"/>
                <w:szCs w:val="21"/>
              </w:rPr>
              <w:t>类别</w:t>
            </w:r>
          </w:p>
        </w:tc>
        <w:tc>
          <w:tcPr>
            <w:tcW w:w="1962" w:type="dxa"/>
            <w:gridSpan w:val="3"/>
            <w:tcBorders>
              <w:top w:val="single" w:color="auto" w:sz="4" w:space="0"/>
              <w:bottom w:val="single" w:color="auto" w:sz="4" w:space="0"/>
            </w:tcBorders>
            <w:noWrap w:val="0"/>
            <w:vAlign w:val="center"/>
          </w:tcPr>
          <w:p>
            <w:pPr>
              <w:spacing w:line="360" w:lineRule="auto"/>
              <w:jc w:val="center"/>
              <w:rPr>
                <w:rFonts w:hAnsi="宋体"/>
                <w:szCs w:val="21"/>
              </w:rPr>
            </w:pPr>
            <w:r>
              <w:rPr>
                <w:rFonts w:hAnsi="宋体"/>
                <w:szCs w:val="21"/>
              </w:rPr>
              <w:t>国际或国家级</w:t>
            </w:r>
          </w:p>
        </w:tc>
        <w:tc>
          <w:tcPr>
            <w:tcW w:w="1962" w:type="dxa"/>
            <w:gridSpan w:val="3"/>
            <w:tcBorders>
              <w:top w:val="single" w:color="auto" w:sz="4" w:space="0"/>
              <w:bottom w:val="single" w:color="auto" w:sz="4" w:space="0"/>
            </w:tcBorders>
            <w:noWrap w:val="0"/>
            <w:vAlign w:val="center"/>
          </w:tcPr>
          <w:p>
            <w:pPr>
              <w:spacing w:line="360" w:lineRule="auto"/>
              <w:jc w:val="center"/>
              <w:rPr>
                <w:rFonts w:hAnsi="宋体"/>
                <w:szCs w:val="21"/>
              </w:rPr>
            </w:pPr>
            <w:r>
              <w:rPr>
                <w:rFonts w:hAnsi="宋体"/>
                <w:szCs w:val="21"/>
              </w:rPr>
              <w:t>省部级</w:t>
            </w:r>
          </w:p>
        </w:tc>
        <w:tc>
          <w:tcPr>
            <w:tcW w:w="1964" w:type="dxa"/>
            <w:gridSpan w:val="3"/>
            <w:tcBorders>
              <w:top w:val="single" w:color="auto" w:sz="4" w:space="0"/>
              <w:bottom w:val="single" w:color="auto" w:sz="4" w:space="0"/>
            </w:tcBorders>
            <w:noWrap w:val="0"/>
            <w:vAlign w:val="center"/>
          </w:tcPr>
          <w:p>
            <w:pPr>
              <w:spacing w:line="360" w:lineRule="auto"/>
              <w:jc w:val="center"/>
              <w:rPr>
                <w:rFonts w:hint="default" w:hAnsi="宋体" w:eastAsia="宋体"/>
                <w:szCs w:val="21"/>
                <w:lang w:val="en-US" w:eastAsia="zh-CN"/>
              </w:rPr>
            </w:pPr>
            <w:r>
              <w:rPr>
                <w:rFonts w:hint="eastAsia" w:hAnsi="宋体"/>
                <w:szCs w:val="21"/>
                <w:lang w:val="en-US" w:eastAsia="zh-CN"/>
              </w:rPr>
              <w:t>市区级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vMerge w:val="continue"/>
            <w:tcBorders>
              <w:bottom w:val="single" w:color="auto" w:sz="4" w:space="0"/>
            </w:tcBorders>
            <w:noWrap w:val="0"/>
            <w:vAlign w:val="center"/>
          </w:tcPr>
          <w:p>
            <w:pPr>
              <w:spacing w:line="360" w:lineRule="auto"/>
              <w:jc w:val="center"/>
              <w:rPr>
                <w:szCs w:val="21"/>
              </w:rPr>
            </w:pP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A</w:t>
            </w:r>
          </w:p>
        </w:tc>
        <w:tc>
          <w:tcPr>
            <w:tcW w:w="654" w:type="dxa"/>
            <w:tcBorders>
              <w:top w:val="single" w:color="auto" w:sz="4" w:space="0"/>
              <w:bottom w:val="single" w:color="auto" w:sz="4" w:space="0"/>
            </w:tcBorders>
            <w:noWrap w:val="0"/>
            <w:vAlign w:val="center"/>
          </w:tcPr>
          <w:p>
            <w:pPr>
              <w:spacing w:line="360" w:lineRule="auto"/>
              <w:jc w:val="center"/>
              <w:rPr>
                <w:szCs w:val="21"/>
              </w:rPr>
            </w:pPr>
            <w:r>
              <w:rPr>
                <w:szCs w:val="21"/>
              </w:rPr>
              <w:t>B</w:t>
            </w:r>
          </w:p>
        </w:tc>
        <w:tc>
          <w:tcPr>
            <w:tcW w:w="656" w:type="dxa"/>
            <w:tcBorders>
              <w:top w:val="single" w:color="auto" w:sz="4" w:space="0"/>
              <w:bottom w:val="single" w:color="auto" w:sz="4" w:space="0"/>
            </w:tcBorders>
            <w:noWrap w:val="0"/>
            <w:vAlign w:val="center"/>
          </w:tcPr>
          <w:p>
            <w:pPr>
              <w:spacing w:line="360" w:lineRule="auto"/>
              <w:jc w:val="center"/>
              <w:rPr>
                <w:szCs w:val="21"/>
              </w:rPr>
            </w:pPr>
            <w:r>
              <w:rPr>
                <w:szCs w:val="21"/>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top w:val="single" w:color="auto" w:sz="4" w:space="0"/>
            </w:tcBorders>
            <w:noWrap w:val="0"/>
            <w:vAlign w:val="center"/>
          </w:tcPr>
          <w:p>
            <w:pPr>
              <w:spacing w:line="360" w:lineRule="auto"/>
              <w:jc w:val="center"/>
              <w:rPr>
                <w:szCs w:val="21"/>
              </w:rPr>
            </w:pPr>
            <w:r>
              <w:rPr>
                <w:rFonts w:hAnsi="宋体"/>
                <w:szCs w:val="21"/>
              </w:rPr>
              <w:t>第</w:t>
            </w:r>
            <w:r>
              <w:rPr>
                <w:szCs w:val="21"/>
              </w:rPr>
              <w:t>1</w:t>
            </w:r>
            <w:r>
              <w:rPr>
                <w:rFonts w:hAnsi="宋体"/>
                <w:szCs w:val="21"/>
              </w:rPr>
              <w:t>获奖人</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5</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4</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4</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654"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656" w:type="dxa"/>
            <w:tcBorders>
              <w:top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noWrap w:val="0"/>
            <w:vAlign w:val="center"/>
          </w:tcPr>
          <w:p>
            <w:pPr>
              <w:spacing w:line="360" w:lineRule="auto"/>
              <w:jc w:val="center"/>
              <w:rPr>
                <w:szCs w:val="21"/>
              </w:rPr>
            </w:pPr>
            <w:r>
              <w:rPr>
                <w:rFonts w:hAnsi="宋体"/>
                <w:szCs w:val="21"/>
              </w:rPr>
              <w:t>第</w:t>
            </w:r>
            <w:r>
              <w:rPr>
                <w:szCs w:val="21"/>
              </w:rPr>
              <w:t>2</w:t>
            </w:r>
            <w:r>
              <w:rPr>
                <w:rFonts w:hAnsi="宋体"/>
                <w:szCs w:val="21"/>
              </w:rPr>
              <w:t>获奖人</w:t>
            </w:r>
          </w:p>
        </w:tc>
        <w:tc>
          <w:tcPr>
            <w:tcW w:w="654" w:type="dxa"/>
            <w:noWrap w:val="0"/>
            <w:vAlign w:val="center"/>
          </w:tcPr>
          <w:p>
            <w:pPr>
              <w:jc w:val="center"/>
              <w:rPr>
                <w:rFonts w:hint="eastAsia" w:eastAsia="宋体"/>
                <w:szCs w:val="21"/>
                <w:lang w:eastAsia="zh-CN"/>
              </w:rPr>
            </w:pPr>
            <w:r>
              <w:rPr>
                <w:rFonts w:hint="eastAsia"/>
                <w:szCs w:val="21"/>
                <w:lang w:val="en-US" w:eastAsia="zh-CN"/>
              </w:rPr>
              <w:t>4</w:t>
            </w:r>
          </w:p>
        </w:tc>
        <w:tc>
          <w:tcPr>
            <w:tcW w:w="654" w:type="dxa"/>
            <w:noWrap w:val="0"/>
            <w:vAlign w:val="center"/>
          </w:tcPr>
          <w:p>
            <w:pPr>
              <w:jc w:val="center"/>
              <w:rPr>
                <w:rFonts w:hint="eastAsia" w:eastAsia="宋体"/>
                <w:szCs w:val="21"/>
                <w:lang w:eastAsia="zh-CN"/>
              </w:rPr>
            </w:pPr>
            <w:r>
              <w:rPr>
                <w:rFonts w:hint="eastAsia"/>
                <w:szCs w:val="21"/>
                <w:lang w:val="en-US" w:eastAsia="zh-CN"/>
              </w:rPr>
              <w:t>3</w:t>
            </w:r>
          </w:p>
        </w:tc>
        <w:tc>
          <w:tcPr>
            <w:tcW w:w="654" w:type="dxa"/>
            <w:noWrap w:val="0"/>
            <w:vAlign w:val="center"/>
          </w:tcPr>
          <w:p>
            <w:pPr>
              <w:jc w:val="center"/>
              <w:rPr>
                <w:rFonts w:hint="eastAsia" w:eastAsia="宋体"/>
                <w:szCs w:val="21"/>
                <w:lang w:eastAsia="zh-CN"/>
              </w:rPr>
            </w:pPr>
            <w:r>
              <w:rPr>
                <w:rFonts w:hint="eastAsia"/>
                <w:szCs w:val="21"/>
                <w:lang w:val="en-US" w:eastAsia="zh-CN"/>
              </w:rPr>
              <w:t>2</w:t>
            </w:r>
          </w:p>
        </w:tc>
        <w:tc>
          <w:tcPr>
            <w:tcW w:w="654" w:type="dxa"/>
            <w:noWrap w:val="0"/>
            <w:vAlign w:val="center"/>
          </w:tcPr>
          <w:p>
            <w:pPr>
              <w:jc w:val="center"/>
              <w:rPr>
                <w:rFonts w:hint="eastAsia" w:eastAsia="宋体"/>
                <w:szCs w:val="21"/>
                <w:lang w:eastAsia="zh-CN"/>
              </w:rPr>
            </w:pPr>
            <w:r>
              <w:rPr>
                <w:rFonts w:hint="eastAsia"/>
                <w:szCs w:val="21"/>
                <w:lang w:val="en-US" w:eastAsia="zh-CN"/>
              </w:rPr>
              <w:t>3</w:t>
            </w:r>
          </w:p>
        </w:tc>
        <w:tc>
          <w:tcPr>
            <w:tcW w:w="654" w:type="dxa"/>
            <w:noWrap w:val="0"/>
            <w:vAlign w:val="center"/>
          </w:tcPr>
          <w:p>
            <w:pPr>
              <w:jc w:val="center"/>
              <w:rPr>
                <w:rFonts w:hint="eastAsia" w:eastAsia="宋体"/>
                <w:szCs w:val="21"/>
                <w:lang w:eastAsia="zh-CN"/>
              </w:rPr>
            </w:pPr>
            <w:r>
              <w:rPr>
                <w:rFonts w:hint="eastAsia"/>
                <w:szCs w:val="21"/>
                <w:lang w:val="en-US" w:eastAsia="zh-CN"/>
              </w:rPr>
              <w:t>2</w:t>
            </w:r>
          </w:p>
        </w:tc>
        <w:tc>
          <w:tcPr>
            <w:tcW w:w="654" w:type="dxa"/>
            <w:noWrap w:val="0"/>
            <w:vAlign w:val="center"/>
          </w:tcPr>
          <w:p>
            <w:pPr>
              <w:jc w:val="center"/>
              <w:rPr>
                <w:rFonts w:hint="eastAsia" w:eastAsia="宋体"/>
                <w:szCs w:val="21"/>
                <w:lang w:eastAsia="zh-CN"/>
              </w:rPr>
            </w:pPr>
            <w:r>
              <w:rPr>
                <w:rFonts w:hint="eastAsia"/>
                <w:szCs w:val="21"/>
                <w:lang w:val="en-US" w:eastAsia="zh-CN"/>
              </w:rPr>
              <w:t>1</w:t>
            </w:r>
          </w:p>
        </w:tc>
        <w:tc>
          <w:tcPr>
            <w:tcW w:w="654" w:type="dxa"/>
            <w:noWrap w:val="0"/>
            <w:vAlign w:val="center"/>
          </w:tcPr>
          <w:p>
            <w:pPr>
              <w:jc w:val="center"/>
              <w:rPr>
                <w:rFonts w:hint="eastAsia" w:eastAsia="宋体"/>
                <w:szCs w:val="21"/>
                <w:lang w:eastAsia="zh-CN"/>
              </w:rPr>
            </w:pPr>
            <w:r>
              <w:rPr>
                <w:rFonts w:hint="eastAsia"/>
                <w:szCs w:val="21"/>
                <w:lang w:val="en-US" w:eastAsia="zh-CN"/>
              </w:rPr>
              <w:t>2</w:t>
            </w:r>
          </w:p>
        </w:tc>
        <w:tc>
          <w:tcPr>
            <w:tcW w:w="654" w:type="dxa"/>
            <w:noWrap w:val="0"/>
            <w:vAlign w:val="center"/>
          </w:tcPr>
          <w:p>
            <w:pPr>
              <w:jc w:val="center"/>
              <w:rPr>
                <w:rFonts w:hint="eastAsia" w:eastAsia="宋体"/>
                <w:szCs w:val="21"/>
                <w:lang w:eastAsia="zh-CN"/>
              </w:rPr>
            </w:pPr>
            <w:r>
              <w:rPr>
                <w:rFonts w:hint="eastAsia"/>
                <w:szCs w:val="21"/>
                <w:lang w:val="en-US" w:eastAsia="zh-CN"/>
              </w:rPr>
              <w:t>1</w:t>
            </w:r>
          </w:p>
        </w:tc>
        <w:tc>
          <w:tcPr>
            <w:tcW w:w="656" w:type="dxa"/>
            <w:noWrap w:val="0"/>
            <w:vAlign w:val="center"/>
          </w:tcPr>
          <w:p>
            <w:pPr>
              <w:jc w:val="center"/>
              <w:rPr>
                <w:rFonts w:hint="eastAsia" w:eastAsia="宋体"/>
                <w:szCs w:val="21"/>
                <w:lang w:eastAsia="zh-CN"/>
              </w:rPr>
            </w:pPr>
            <w:r>
              <w:rPr>
                <w:rFonts w:hint="eastAsia"/>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3" w:type="dxa"/>
            <w:tcBorders>
              <w:bottom w:val="single" w:color="auto" w:sz="4" w:space="0"/>
            </w:tcBorders>
            <w:noWrap w:val="0"/>
            <w:vAlign w:val="center"/>
          </w:tcPr>
          <w:p>
            <w:pPr>
              <w:spacing w:line="360" w:lineRule="auto"/>
              <w:jc w:val="center"/>
              <w:rPr>
                <w:szCs w:val="21"/>
              </w:rPr>
            </w:pPr>
            <w:r>
              <w:rPr>
                <w:rFonts w:hAnsi="宋体"/>
                <w:szCs w:val="21"/>
              </w:rPr>
              <w:t>第</w:t>
            </w:r>
            <w:r>
              <w:rPr>
                <w:szCs w:val="21"/>
              </w:rPr>
              <w:t>3</w:t>
            </w:r>
            <w:r>
              <w:rPr>
                <w:rFonts w:hAnsi="宋体"/>
                <w:szCs w:val="21"/>
              </w:rPr>
              <w:t>获奖人</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3</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2</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0</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1</w:t>
            </w:r>
          </w:p>
        </w:tc>
        <w:tc>
          <w:tcPr>
            <w:tcW w:w="654" w:type="dxa"/>
            <w:tcBorders>
              <w:bottom w:val="single" w:color="auto" w:sz="4" w:space="0"/>
            </w:tcBorders>
            <w:noWrap w:val="0"/>
            <w:vAlign w:val="center"/>
          </w:tcPr>
          <w:p>
            <w:pPr>
              <w:jc w:val="center"/>
              <w:rPr>
                <w:rFonts w:hint="eastAsia" w:eastAsia="宋体"/>
                <w:szCs w:val="21"/>
                <w:lang w:eastAsia="zh-CN"/>
              </w:rPr>
            </w:pPr>
            <w:r>
              <w:rPr>
                <w:rFonts w:hint="eastAsia"/>
                <w:szCs w:val="21"/>
                <w:lang w:val="en-US" w:eastAsia="zh-CN"/>
              </w:rPr>
              <w:t>0</w:t>
            </w:r>
          </w:p>
        </w:tc>
        <w:tc>
          <w:tcPr>
            <w:tcW w:w="656" w:type="dxa"/>
            <w:tcBorders>
              <w:bottom w:val="single" w:color="auto" w:sz="4" w:space="0"/>
            </w:tcBorders>
            <w:noWrap w:val="0"/>
            <w:vAlign w:val="center"/>
          </w:tcPr>
          <w:p>
            <w:pPr>
              <w:jc w:val="center"/>
              <w:rPr>
                <w:szCs w:val="21"/>
              </w:rPr>
            </w:pPr>
            <w:r>
              <w:rPr>
                <w:szCs w:val="21"/>
              </w:rPr>
              <w:t>0</w:t>
            </w:r>
          </w:p>
        </w:tc>
      </w:tr>
    </w:tbl>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注：A等指特等奖、一等奖、金奖，B等指二等奖、银奖、单项一等奖，C等指三等奖、铜奖、单项二等奖。</w:t>
      </w:r>
    </w:p>
    <w:p>
      <w:pPr>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科研能力面试评价采用专家教授现场打分，满分</w:t>
      </w:r>
      <w:r>
        <w:rPr>
          <w:rFonts w:hint="eastAsia" w:ascii="仿宋_GB2312" w:hAnsi="宋体" w:eastAsia="仿宋_GB2312"/>
          <w:sz w:val="32"/>
          <w:szCs w:val="32"/>
          <w:lang w:val="en-US" w:eastAsia="zh-CN"/>
        </w:rPr>
        <w:t>80</w:t>
      </w:r>
      <w:r>
        <w:rPr>
          <w:rFonts w:hint="eastAsia" w:ascii="仿宋_GB2312" w:hAnsi="宋体" w:eastAsia="仿宋_GB2312"/>
          <w:sz w:val="32"/>
          <w:szCs w:val="32"/>
        </w:rPr>
        <w:t>分。内容包括英语能力、科研能力、报考意愿等。</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第六章  组织实施</w:t>
      </w:r>
    </w:p>
    <w:p>
      <w:pPr>
        <w:adjustRightInd w:val="0"/>
        <w:ind w:firstLine="643" w:firstLineChars="200"/>
        <w:jc w:val="left"/>
        <w:rPr>
          <w:rFonts w:ascii="仿宋_GB2312" w:hAnsi="宋体" w:eastAsia="仿宋_GB2312"/>
          <w:sz w:val="32"/>
          <w:szCs w:val="32"/>
        </w:rPr>
      </w:pPr>
      <w:r>
        <w:rPr>
          <w:rFonts w:hint="eastAsia" w:ascii="仿宋_GB2312" w:hAnsi="宋体" w:eastAsia="仿宋_GB2312" w:cs="仿宋_GB2312"/>
          <w:b/>
          <w:bCs/>
          <w:sz w:val="32"/>
          <w:szCs w:val="32"/>
        </w:rPr>
        <w:t xml:space="preserve">第十四条  </w:t>
      </w:r>
      <w:r>
        <w:rPr>
          <w:rFonts w:hint="eastAsia" w:ascii="仿宋_GB2312" w:hAnsi="宋体" w:eastAsia="仿宋_GB2312" w:cs="仿宋_GB2312"/>
          <w:sz w:val="32"/>
          <w:szCs w:val="32"/>
        </w:rPr>
        <w:t>工作程序</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1.学生申请：学院根据学校安排公布符合第七条3、4项条件学生名单，入选学生</w:t>
      </w:r>
      <w:r>
        <w:rPr>
          <w:rFonts w:hint="eastAsia" w:ascii="仿宋_GB2312" w:hAnsi="宋体" w:eastAsia="仿宋_GB2312" w:cs="仿宋_GB2312"/>
          <w:sz w:val="32"/>
          <w:szCs w:val="32"/>
          <w:lang w:val="en-US" w:eastAsia="zh-CN"/>
        </w:rPr>
        <w:t>应至少有一位当年具有招生资格的导师推荐且</w:t>
      </w:r>
      <w:r>
        <w:rPr>
          <w:rFonts w:hint="eastAsia" w:ascii="仿宋_GB2312" w:hAnsi="宋体" w:eastAsia="仿宋_GB2312" w:cs="仿宋_GB2312"/>
          <w:sz w:val="32"/>
          <w:szCs w:val="32"/>
        </w:rPr>
        <w:t>在规定时间内向学院</w:t>
      </w:r>
      <w:r>
        <w:rPr>
          <w:rFonts w:hint="eastAsia" w:ascii="仿宋_GB2312" w:hAnsi="宋体" w:eastAsia="仿宋_GB2312" w:cs="仿宋_GB2312"/>
          <w:sz w:val="32"/>
          <w:szCs w:val="32"/>
          <w:lang w:val="en-US" w:eastAsia="zh-CN"/>
        </w:rPr>
        <w:t>研究生办</w:t>
      </w:r>
      <w:r>
        <w:rPr>
          <w:rFonts w:hint="eastAsia" w:ascii="仿宋_GB2312" w:hAnsi="宋体" w:eastAsia="仿宋_GB2312" w:cs="仿宋_GB2312"/>
          <w:sz w:val="32"/>
          <w:szCs w:val="32"/>
        </w:rPr>
        <w:t>提出申请，</w:t>
      </w:r>
      <w:r>
        <w:rPr>
          <w:rFonts w:hint="eastAsia" w:ascii="仿宋_GB2312" w:hAnsi="宋体" w:eastAsia="仿宋_GB2312" w:cs="仿宋_GB2312"/>
          <w:bCs/>
          <w:sz w:val="32"/>
          <w:szCs w:val="32"/>
        </w:rPr>
        <w:t>选择攻读西北农林科技大学研究生的推免生同时填写推荐免试攻读研究生承诺书</w:t>
      </w:r>
      <w:r>
        <w:rPr>
          <w:rFonts w:hint="eastAsia" w:ascii="仿宋_GB2312" w:hAnsi="宋体" w:eastAsia="仿宋_GB2312" w:cs="仿宋_GB2312"/>
          <w:sz w:val="32"/>
          <w:szCs w:val="32"/>
        </w:rPr>
        <w:t>。</w:t>
      </w:r>
    </w:p>
    <w:p>
      <w:pPr>
        <w:adjustRightInd w:val="0"/>
        <w:ind w:firstLine="640" w:firstLineChars="200"/>
        <w:jc w:val="left"/>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心理测试：由校学生工作处（党委学工部）组织实施，学工办负责联系校心理咨询中心确定具体时间安排。</w:t>
      </w:r>
    </w:p>
    <w:p>
      <w:pPr>
        <w:adjustRightInd w:val="0"/>
        <w:ind w:firstLine="640" w:firstLineChars="200"/>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综合考核：学院对申请学生进行综合考核，由学工办对申请学生进行思想品德考核，研究生办、教学办组织进行科研潜质考核（面试过程全程录音录像）；研究生办依据各项考核结果进行综合考核排名，结果报学院推免生遴选工作领导小组审核，学院推免生遴选工作领导小组依据综合考核成绩排名和推荐指标，确定各专项和专业推免生名单，在学</w:t>
      </w:r>
      <w:r>
        <w:rPr>
          <w:rFonts w:ascii="仿宋_GB2312" w:hAnsi="宋体" w:eastAsia="仿宋_GB2312" w:cs="仿宋_GB2312"/>
          <w:sz w:val="32"/>
          <w:szCs w:val="32"/>
        </w:rPr>
        <w:t>院内公示</w:t>
      </w:r>
      <w:r>
        <w:rPr>
          <w:rFonts w:hint="eastAsia" w:ascii="仿宋_GB2312" w:hAnsi="宋体" w:eastAsia="仿宋_GB2312" w:cs="仿宋_GB2312"/>
          <w:sz w:val="32"/>
          <w:szCs w:val="32"/>
        </w:rPr>
        <w:t>3</w:t>
      </w:r>
      <w:r>
        <w:rPr>
          <w:rFonts w:ascii="仿宋_GB2312" w:hAnsi="宋体" w:eastAsia="仿宋_GB2312" w:cs="仿宋_GB2312"/>
          <w:sz w:val="32"/>
          <w:szCs w:val="32"/>
        </w:rPr>
        <w:t>个</w:t>
      </w:r>
      <w:r>
        <w:rPr>
          <w:rFonts w:hint="eastAsia" w:ascii="仿宋_GB2312" w:hAnsi="宋体" w:eastAsia="仿宋_GB2312" w:cs="仿宋_GB2312"/>
          <w:sz w:val="32"/>
          <w:szCs w:val="32"/>
        </w:rPr>
        <w:t>工作日。</w:t>
      </w:r>
    </w:p>
    <w:p>
      <w:pPr>
        <w:adjustRightInd w:val="0"/>
        <w:ind w:firstLine="640" w:firstLineChars="200"/>
        <w:jc w:val="left"/>
        <w:rPr>
          <w:rFonts w:hint="eastAsia" w:ascii="仿宋_GB2312" w:hAnsi="宋体" w:eastAsia="仿宋_GB2312" w:cs="仿宋_GB2312"/>
          <w:spacing w:val="8"/>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.结果上报：学院将公示</w:t>
      </w:r>
      <w:r>
        <w:rPr>
          <w:rFonts w:ascii="仿宋_GB2312" w:hAnsi="宋体" w:eastAsia="仿宋_GB2312" w:cs="仿宋_GB2312"/>
          <w:sz w:val="32"/>
          <w:szCs w:val="32"/>
        </w:rPr>
        <w:t>无异议后</w:t>
      </w:r>
      <w:r>
        <w:rPr>
          <w:rFonts w:hint="eastAsia" w:ascii="仿宋_GB2312" w:hAnsi="宋体" w:eastAsia="仿宋_GB2312" w:cs="仿宋_GB2312"/>
          <w:sz w:val="32"/>
          <w:szCs w:val="32"/>
        </w:rPr>
        <w:t>的推免生名单报送研究生院，研究生院对推免生名单进行汇总，并交教务处、学生处复查学生遴选资格、学籍信息，复查结果无误、无异议后，研究生院将推免生名单提交学校推免生遴选工作领导小组审核，审核通过后公示，公示时间不少于</w:t>
      </w:r>
      <w:r>
        <w:rPr>
          <w:rFonts w:ascii="仿宋_GB2312" w:hAnsi="宋体" w:eastAsia="仿宋_GB2312" w:cs="仿宋_GB2312"/>
          <w:sz w:val="32"/>
          <w:szCs w:val="32"/>
        </w:rPr>
        <w:t>10</w:t>
      </w:r>
      <w:r>
        <w:rPr>
          <w:rFonts w:hint="eastAsia" w:ascii="仿宋_GB2312" w:hAnsi="宋体" w:eastAsia="仿宋_GB2312" w:cs="仿宋_GB2312"/>
          <w:sz w:val="32"/>
          <w:szCs w:val="32"/>
        </w:rPr>
        <w:t>个工作日；</w:t>
      </w:r>
      <w:r>
        <w:rPr>
          <w:rFonts w:hint="eastAsia" w:ascii="仿宋_GB2312" w:hAnsi="宋体" w:eastAsia="仿宋_GB2312" w:cs="仿宋_GB2312"/>
          <w:spacing w:val="-6"/>
          <w:sz w:val="32"/>
          <w:szCs w:val="32"/>
        </w:rPr>
        <w:t>公示无异议的推免生名单，由研究生院呈报上级主管部门</w:t>
      </w:r>
      <w:r>
        <w:rPr>
          <w:rFonts w:hint="eastAsia" w:ascii="仿宋_GB2312" w:hAnsi="宋体" w:eastAsia="仿宋_GB2312" w:cs="仿宋_GB2312"/>
          <w:spacing w:val="8"/>
          <w:sz w:val="32"/>
          <w:szCs w:val="32"/>
        </w:rPr>
        <w:t>。</w:t>
      </w:r>
    </w:p>
    <w:p>
      <w:pPr>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 xml:space="preserve">第十五条  </w:t>
      </w:r>
      <w:r>
        <w:rPr>
          <w:rFonts w:hint="eastAsia" w:ascii="仿宋_GB2312" w:hAnsi="宋体" w:eastAsia="仿宋_GB2312" w:cs="仿宋_GB2312"/>
          <w:sz w:val="32"/>
          <w:szCs w:val="32"/>
        </w:rPr>
        <w:t>申请推免的学生，如对结果有异议，在公示期内，可根据实施细则规定的流程向学院或学校推免生遴选工作领导小组（监察处）提出复议申请，具体流程如下：</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1.在公示期内</w:t>
      </w:r>
      <w:r>
        <w:rPr>
          <w:rFonts w:hint="eastAsia" w:ascii="仿宋_GB2312" w:eastAsia="仿宋_GB2312"/>
          <w:sz w:val="32"/>
          <w:szCs w:val="32"/>
        </w:rPr>
        <w:t>申请复议的学生应填写《推荐免试攻读研究生复议申请表》，提</w:t>
      </w:r>
      <w:r>
        <w:rPr>
          <w:rFonts w:hint="eastAsia" w:ascii="仿宋_GB2312" w:hAnsi="宋体" w:eastAsia="仿宋_GB2312" w:cs="仿宋_GB2312"/>
          <w:sz w:val="32"/>
          <w:szCs w:val="32"/>
        </w:rPr>
        <w:t>交学院研究生办</w:t>
      </w:r>
      <w:r>
        <w:rPr>
          <w:rFonts w:hint="eastAsia" w:ascii="仿宋_GB2312" w:hAnsi="宋体" w:eastAsia="仿宋_GB2312" w:cs="仿宋_GB2312"/>
          <w:sz w:val="32"/>
          <w:szCs w:val="32"/>
          <w:lang w:val="en-US" w:eastAsia="zh-CN"/>
        </w:rPr>
        <w:t>或学校推免生遴选工作领导小组（研究生院：029-87080155）提出复议申请</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w:t>
      </w:r>
      <w:r>
        <w:rPr>
          <w:rFonts w:ascii="仿宋_GB2312" w:hAnsi="宋体" w:eastAsia="仿宋_GB2312" w:cs="仿宋_GB2312"/>
          <w:sz w:val="32"/>
          <w:szCs w:val="32"/>
        </w:rPr>
        <w:t>.</w:t>
      </w:r>
      <w:r>
        <w:rPr>
          <w:rFonts w:hint="eastAsia" w:ascii="仿宋_GB2312" w:hAnsi="宋体" w:eastAsia="仿宋_GB2312" w:cs="仿宋_GB2312"/>
          <w:sz w:val="32"/>
          <w:szCs w:val="32"/>
        </w:rPr>
        <w:t>学院推免生遴选工作领导小组按照实施细则审核申请复议学生所反映情况是否属实，情况属实的进入复议程序。</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学院推免生遴选工作领导小组办公室组织相关专家组成复议组，全面复查相关工作环节，经研究得出复议结论，并告知相关系和申请复议的学生，按照新的结论报送推免生名单。</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bCs/>
          <w:sz w:val="32"/>
          <w:szCs w:val="32"/>
        </w:rPr>
        <w:t>4.由学校推免生遴选工作领导小组处理的复议申请，学院</w:t>
      </w:r>
      <w:r>
        <w:rPr>
          <w:rFonts w:hint="eastAsia" w:ascii="仿宋_GB2312" w:hAnsi="宋体" w:eastAsia="仿宋_GB2312" w:cs="仿宋_GB2312"/>
          <w:sz w:val="32"/>
          <w:szCs w:val="32"/>
        </w:rPr>
        <w:t>推免生遴选工作小组根据学校复议结论按相关程序办理并将结果报送研究生院审核、备案。</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第六章  其他</w:t>
      </w:r>
    </w:p>
    <w:p>
      <w:pPr>
        <w:adjustRightInd w:val="0"/>
        <w:ind w:firstLine="643" w:firstLineChars="200"/>
        <w:jc w:val="left"/>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 xml:space="preserve">第十六条  </w:t>
      </w:r>
      <w:r>
        <w:rPr>
          <w:rFonts w:hint="eastAsia" w:ascii="仿宋_GB2312" w:hAnsi="宋体" w:eastAsia="仿宋_GB2312" w:cs="仿宋_GB2312"/>
          <w:b w:val="0"/>
          <w:bCs w:val="0"/>
          <w:sz w:val="32"/>
          <w:szCs w:val="32"/>
          <w:lang w:val="en-US" w:eastAsia="zh-CN"/>
        </w:rPr>
        <w:t>特长生推荐基本条件参照按照研院〔2018〕19号文件。</w:t>
      </w:r>
    </w:p>
    <w:p>
      <w:pPr>
        <w:adjustRightInd w:val="0"/>
        <w:ind w:firstLine="643" w:firstLineChars="200"/>
        <w:jc w:val="left"/>
        <w:rPr>
          <w:rFonts w:ascii="仿宋_GB2312" w:hAnsi="宋体" w:eastAsia="仿宋_GB2312" w:cs="仿宋_GB2312"/>
          <w:b/>
          <w:bCs/>
          <w:sz w:val="32"/>
          <w:szCs w:val="32"/>
        </w:rPr>
      </w:pPr>
      <w:r>
        <w:rPr>
          <w:rFonts w:hint="eastAsia" w:ascii="仿宋_GB2312" w:eastAsia="仿宋_GB2312" w:cs="仿宋_GB2312"/>
          <w:b/>
          <w:bCs/>
          <w:sz w:val="32"/>
          <w:szCs w:val="32"/>
        </w:rPr>
        <w:t xml:space="preserve">第十七条  </w:t>
      </w:r>
      <w:r>
        <w:rPr>
          <w:rFonts w:hint="eastAsia" w:ascii="仿宋_GB2312" w:hAnsi="宋体" w:eastAsia="仿宋_GB2312" w:cs="仿宋_GB2312"/>
          <w:bCs/>
          <w:sz w:val="32"/>
          <w:szCs w:val="32"/>
        </w:rPr>
        <w:t>推免生填写的推荐免试攻读研究生承诺书，经学院主管研究生工作院长签字确认后由研究生办保管。</w:t>
      </w:r>
    </w:p>
    <w:p>
      <w:pPr>
        <w:adjustRightInd w:val="0"/>
        <w:ind w:firstLine="643" w:firstLineChars="200"/>
        <w:jc w:val="left"/>
        <w:rPr>
          <w:rFonts w:ascii="仿宋_GB2312" w:hAnsi="宋体" w:eastAsia="仿宋_GB2312" w:cs="仿宋_GB2312"/>
          <w:sz w:val="32"/>
          <w:szCs w:val="32"/>
        </w:rPr>
      </w:pPr>
      <w:r>
        <w:rPr>
          <w:rFonts w:hint="eastAsia" w:ascii="仿宋_GB2312" w:eastAsia="仿宋_GB2312" w:cs="仿宋_GB2312"/>
          <w:b/>
          <w:bCs/>
          <w:sz w:val="32"/>
          <w:szCs w:val="32"/>
        </w:rPr>
        <w:t>第十</w:t>
      </w:r>
      <w:r>
        <w:rPr>
          <w:rFonts w:hint="eastAsia" w:ascii="仿宋_GB2312" w:eastAsia="仿宋_GB2312" w:cs="仿宋_GB2312"/>
          <w:b/>
          <w:bCs/>
          <w:sz w:val="32"/>
          <w:szCs w:val="32"/>
          <w:lang w:val="en-US" w:eastAsia="zh-CN"/>
        </w:rPr>
        <w:t>八</w:t>
      </w:r>
      <w:r>
        <w:rPr>
          <w:rFonts w:hint="eastAsia" w:ascii="仿宋_GB2312" w:eastAsia="仿宋_GB2312" w:cs="仿宋_GB2312"/>
          <w:b/>
          <w:bCs/>
          <w:sz w:val="32"/>
          <w:szCs w:val="32"/>
        </w:rPr>
        <w:t xml:space="preserve">条  </w:t>
      </w:r>
      <w:r>
        <w:rPr>
          <w:rFonts w:hint="eastAsia" w:ascii="仿宋_GB2312" w:eastAsia="仿宋_GB2312" w:cs="仿宋_GB2312"/>
          <w:bCs/>
          <w:sz w:val="32"/>
          <w:szCs w:val="32"/>
        </w:rPr>
        <w:t>推免生出现下列情况之一，按有关规定办理，并取消其推免资格或入学资格</w:t>
      </w:r>
      <w:r>
        <w:rPr>
          <w:rFonts w:hint="eastAsia" w:ascii="仿宋_GB2312" w:hAnsi="宋体" w:eastAsia="仿宋_GB2312" w:cs="仿宋_GB2312"/>
          <w:sz w:val="32"/>
          <w:szCs w:val="32"/>
        </w:rPr>
        <w:t>。</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（一）弄虚作假、缺乏诚信者；</w:t>
      </w:r>
    </w:p>
    <w:p>
      <w:pPr>
        <w:adjustRightInd w:val="0"/>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（二）心里测试未通过，思想政治品德考核不合格或考核成绩小于6</w:t>
      </w:r>
      <w:r>
        <w:rPr>
          <w:rFonts w:ascii="仿宋_GB2312" w:hAnsi="宋体" w:eastAsia="仿宋_GB2312" w:cs="仿宋_GB2312"/>
          <w:sz w:val="32"/>
          <w:szCs w:val="32"/>
        </w:rPr>
        <w:t>0</w:t>
      </w:r>
      <w:r>
        <w:rPr>
          <w:rFonts w:hint="eastAsia" w:ascii="仿宋_GB2312" w:hAnsi="宋体" w:eastAsia="仿宋_GB2312" w:cs="仿宋_GB2312"/>
          <w:sz w:val="32"/>
          <w:szCs w:val="32"/>
        </w:rPr>
        <w:t>分者；</w:t>
      </w:r>
    </w:p>
    <w:p>
      <w:pPr>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（三）受学校纪律处分，在处分期内者；</w:t>
      </w:r>
    </w:p>
    <w:p>
      <w:pPr>
        <w:adjustRightInd w:val="0"/>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（四）在规定学习年限内不能按期毕业取得学士学位者。</w:t>
      </w:r>
    </w:p>
    <w:p>
      <w:pPr>
        <w:adjustRightInd w:val="0"/>
        <w:spacing w:before="156" w:beforeLines="50" w:after="156" w:afterLines="50"/>
        <w:jc w:val="center"/>
        <w:rPr>
          <w:rFonts w:ascii="黑体" w:hAnsi="黑体" w:eastAsia="黑体" w:cs="黑体"/>
          <w:b/>
          <w:sz w:val="32"/>
          <w:szCs w:val="32"/>
        </w:rPr>
      </w:pPr>
      <w:r>
        <w:rPr>
          <w:rFonts w:hint="eastAsia" w:ascii="黑体" w:hAnsi="黑体" w:eastAsia="黑体" w:cs="黑体"/>
          <w:b/>
          <w:sz w:val="32"/>
          <w:szCs w:val="32"/>
        </w:rPr>
        <w:t>第七章  附则</w:t>
      </w:r>
    </w:p>
    <w:p>
      <w:pPr>
        <w:ind w:firstLine="627" w:firstLineChars="200"/>
        <w:rPr>
          <w:rFonts w:hint="eastAsia" w:ascii="仿宋_GB2312" w:hAnsi="宋体" w:eastAsia="仿宋_GB2312" w:cs="仿宋_GB2312"/>
          <w:sz w:val="32"/>
          <w:szCs w:val="32"/>
        </w:rPr>
      </w:pPr>
      <w:r>
        <w:rPr>
          <w:rFonts w:hint="eastAsia" w:ascii="仿宋_GB2312" w:hAnsi="宋体" w:eastAsia="仿宋_GB2312" w:cs="仿宋_GB2312"/>
          <w:b/>
          <w:bCs/>
          <w:spacing w:val="-4"/>
          <w:sz w:val="32"/>
          <w:szCs w:val="32"/>
        </w:rPr>
        <w:t>第十</w:t>
      </w:r>
      <w:r>
        <w:rPr>
          <w:rFonts w:hint="eastAsia" w:ascii="仿宋_GB2312" w:hAnsi="宋体" w:eastAsia="仿宋_GB2312" w:cs="仿宋_GB2312"/>
          <w:b/>
          <w:bCs/>
          <w:spacing w:val="-4"/>
          <w:sz w:val="32"/>
          <w:szCs w:val="32"/>
          <w:lang w:val="en-US" w:eastAsia="zh-CN"/>
        </w:rPr>
        <w:t>九</w:t>
      </w:r>
      <w:r>
        <w:rPr>
          <w:rFonts w:hint="eastAsia" w:ascii="仿宋_GB2312" w:hAnsi="宋体" w:eastAsia="仿宋_GB2312" w:cs="仿宋_GB2312"/>
          <w:b/>
          <w:bCs/>
          <w:spacing w:val="-4"/>
          <w:sz w:val="32"/>
          <w:szCs w:val="32"/>
        </w:rPr>
        <w:t xml:space="preserve">条  </w:t>
      </w:r>
      <w:r>
        <w:rPr>
          <w:rFonts w:hint="eastAsia" w:ascii="仿宋_GB2312" w:hAnsi="宋体" w:eastAsia="仿宋_GB2312" w:cs="仿宋_GB2312"/>
          <w:sz w:val="32"/>
          <w:szCs w:val="32"/>
        </w:rPr>
        <w:t>本办法自2020年</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月1日起施行，原《动物科技学院推荐优秀应届本科毕业生免试攻读硕士学位研究生实施细则》（动科〔2017〕10号）同时废止。</w:t>
      </w:r>
    </w:p>
    <w:p>
      <w:pPr>
        <w:ind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rPr>
        <w:t>第</w:t>
      </w:r>
      <w:r>
        <w:rPr>
          <w:rFonts w:hint="eastAsia" w:ascii="仿宋_GB2312" w:hAnsi="宋体" w:eastAsia="仿宋_GB2312" w:cs="仿宋_GB2312"/>
          <w:b/>
          <w:bCs/>
          <w:sz w:val="32"/>
          <w:szCs w:val="32"/>
          <w:lang w:val="en-US" w:eastAsia="zh-CN"/>
        </w:rPr>
        <w:t>二十</w:t>
      </w:r>
      <w:r>
        <w:rPr>
          <w:rFonts w:hint="eastAsia" w:ascii="仿宋_GB2312" w:hAnsi="宋体" w:eastAsia="仿宋_GB2312" w:cs="仿宋_GB2312"/>
          <w:b/>
          <w:bCs/>
          <w:sz w:val="32"/>
          <w:szCs w:val="32"/>
        </w:rPr>
        <w:t>条</w:t>
      </w: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本办法由动物科技学院负责解释。</w:t>
      </w:r>
    </w:p>
    <w:p>
      <w:pPr>
        <w:ind w:firstLine="640" w:firstLineChars="200"/>
        <w:rPr>
          <w:rFonts w:ascii="仿宋_GB2312" w:eastAsia="仿宋_GB2312"/>
          <w:sz w:val="32"/>
          <w:szCs w:val="32"/>
        </w:rPr>
      </w:pPr>
    </w:p>
    <w:p>
      <w:pPr>
        <w:spacing w:line="480" w:lineRule="exact"/>
        <w:rPr>
          <w:rFonts w:ascii="仿宋_GB2312" w:eastAsia="仿宋_GB2312"/>
          <w:sz w:val="28"/>
          <w:szCs w:val="28"/>
        </w:rPr>
      </w:pPr>
    </w:p>
    <w:p>
      <w:pPr>
        <w:spacing w:line="560" w:lineRule="exact"/>
        <w:jc w:val="center"/>
        <w:rPr>
          <w:rFonts w:ascii="方正小标宋简体" w:hAnsi="华文中宋" w:eastAsia="方正小标宋简体"/>
          <w:b/>
          <w:sz w:val="44"/>
          <w:szCs w:val="4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2D"/>
    <w:rsid w:val="0009731A"/>
    <w:rsid w:val="002209DE"/>
    <w:rsid w:val="00414A4E"/>
    <w:rsid w:val="00651926"/>
    <w:rsid w:val="0095422D"/>
    <w:rsid w:val="00A611FE"/>
    <w:rsid w:val="00C3321C"/>
    <w:rsid w:val="00E61369"/>
    <w:rsid w:val="00FF3676"/>
    <w:rsid w:val="160C476D"/>
    <w:rsid w:val="1A0B307C"/>
    <w:rsid w:val="67DC1B4F"/>
    <w:rsid w:val="683B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188</Words>
  <Characters>1075</Characters>
  <Lines>8</Lines>
  <Paragraphs>2</Paragraphs>
  <TotalTime>8</TotalTime>
  <ScaleCrop>false</ScaleCrop>
  <LinksUpToDate>false</LinksUpToDate>
  <CharactersWithSpaces>1261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2020-03-17T12:42:00Z</dcterms:created>
  <dc:creator>胡巧娟</dc:creator>
  <cp:lastModifiedBy>超</cp:lastModifiedBy>
  <cp:lastPrinted>2020-04-28T06:41:30Z</cp:lastPrinted>
  <dcterms:modified xsi:type="dcterms:W3CDTF">2020-04-28T06:47:10Z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